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2C" w:rsidRPr="00FB4A2C" w:rsidRDefault="001F1BAE" w:rsidP="00FB4A2C">
      <w:pPr>
        <w:spacing w:after="120" w:line="240" w:lineRule="auto"/>
        <w:jc w:val="center"/>
        <w:rPr>
          <w:rFonts w:ascii="Georgia" w:hAnsi="Georgia"/>
          <w:b/>
          <w:sz w:val="24"/>
          <w:szCs w:val="24"/>
          <w:lang w:val="en-US"/>
        </w:rPr>
      </w:pPr>
      <w:r w:rsidRPr="00FB4A2C">
        <w:rPr>
          <w:rFonts w:ascii="Georgia" w:hAnsi="Georgia"/>
          <w:b/>
          <w:sz w:val="24"/>
          <w:szCs w:val="24"/>
          <w:lang w:val="en-US"/>
        </w:rPr>
        <w:t xml:space="preserve">Living Economy in Greece </w:t>
      </w:r>
    </w:p>
    <w:p w:rsidR="001F1BAE" w:rsidRPr="00FB4A2C" w:rsidRDefault="00FB4A2C" w:rsidP="00FB4A2C">
      <w:pPr>
        <w:spacing w:after="120" w:line="240" w:lineRule="auto"/>
        <w:jc w:val="center"/>
        <w:rPr>
          <w:rFonts w:ascii="Georgia" w:hAnsi="Georgia"/>
          <w:b/>
          <w:sz w:val="20"/>
          <w:szCs w:val="20"/>
          <w:lang w:val="en-US"/>
        </w:rPr>
      </w:pPr>
      <w:r>
        <w:rPr>
          <w:rFonts w:ascii="Georgia" w:hAnsi="Georgia"/>
          <w:b/>
          <w:sz w:val="20"/>
          <w:szCs w:val="20"/>
          <w:lang w:val="en-US"/>
        </w:rPr>
        <w:t xml:space="preserve">Athens, </w:t>
      </w:r>
      <w:r w:rsidR="001F1BAE" w:rsidRPr="00FB4A2C">
        <w:rPr>
          <w:rFonts w:ascii="Georgia" w:hAnsi="Georgia"/>
          <w:b/>
          <w:sz w:val="20"/>
          <w:szCs w:val="20"/>
          <w:lang w:val="en-US"/>
        </w:rPr>
        <w:t>15 October 2014</w:t>
      </w:r>
    </w:p>
    <w:p w:rsidR="001F1BAE" w:rsidRPr="00FB4A2C" w:rsidRDefault="001F1BAE" w:rsidP="00FB4A2C">
      <w:pPr>
        <w:spacing w:after="120" w:line="240" w:lineRule="auto"/>
        <w:jc w:val="center"/>
        <w:rPr>
          <w:rFonts w:ascii="Georgia" w:hAnsi="Georgia"/>
          <w:sz w:val="20"/>
          <w:szCs w:val="20"/>
          <w:lang w:val="en-US"/>
        </w:rPr>
      </w:pPr>
      <w:r w:rsidRPr="00FB4A2C">
        <w:rPr>
          <w:rFonts w:ascii="Georgia" w:hAnsi="Georgia"/>
          <w:sz w:val="20"/>
          <w:szCs w:val="20"/>
          <w:lang w:val="en-US"/>
        </w:rPr>
        <w:t xml:space="preserve">Intervention by </w:t>
      </w:r>
      <w:r w:rsidRPr="00FB4A2C">
        <w:rPr>
          <w:rFonts w:ascii="Georgia" w:hAnsi="Georgia"/>
          <w:b/>
          <w:sz w:val="20"/>
          <w:szCs w:val="20"/>
          <w:lang w:val="en-US"/>
        </w:rPr>
        <w:t>Tony Long</w:t>
      </w:r>
      <w:r w:rsidRPr="00FB4A2C">
        <w:rPr>
          <w:rFonts w:ascii="Georgia" w:hAnsi="Georgia"/>
          <w:sz w:val="20"/>
          <w:szCs w:val="20"/>
          <w:lang w:val="en-US"/>
        </w:rPr>
        <w:t xml:space="preserve">, </w:t>
      </w:r>
      <w:r w:rsidR="00FB4A2C" w:rsidRPr="00FB4A2C">
        <w:rPr>
          <w:rFonts w:ascii="Georgia" w:hAnsi="Georgia"/>
          <w:sz w:val="20"/>
          <w:szCs w:val="20"/>
          <w:lang w:val="en-US"/>
        </w:rPr>
        <w:t>Director</w:t>
      </w:r>
      <w:r w:rsidR="00FB4A2C">
        <w:rPr>
          <w:rFonts w:ascii="Georgia" w:hAnsi="Georgia"/>
          <w:sz w:val="20"/>
          <w:szCs w:val="20"/>
          <w:lang w:val="en-US"/>
        </w:rPr>
        <w:t xml:space="preserve"> of</w:t>
      </w:r>
      <w:r w:rsidR="00FB4A2C" w:rsidRPr="00FB4A2C">
        <w:rPr>
          <w:rFonts w:ascii="Georgia" w:hAnsi="Georgia"/>
          <w:sz w:val="20"/>
          <w:szCs w:val="20"/>
          <w:lang w:val="en-US"/>
        </w:rPr>
        <w:t xml:space="preserve"> </w:t>
      </w:r>
      <w:r w:rsidRPr="00FB4A2C">
        <w:rPr>
          <w:rFonts w:ascii="Georgia" w:hAnsi="Georgia"/>
          <w:sz w:val="20"/>
          <w:szCs w:val="20"/>
          <w:lang w:val="en-US"/>
        </w:rPr>
        <w:t>WWF EPO</w:t>
      </w:r>
      <w:r w:rsidR="00FB4A2C" w:rsidRPr="00FB4A2C">
        <w:rPr>
          <w:rFonts w:ascii="Georgia" w:hAnsi="Georgia"/>
          <w:sz w:val="20"/>
          <w:szCs w:val="20"/>
          <w:lang w:val="en-US"/>
        </w:rPr>
        <w:t xml:space="preserve"> at the conference organised by WWF Greece </w:t>
      </w:r>
    </w:p>
    <w:p w:rsidR="001F1BAE" w:rsidRPr="00FB4A2C" w:rsidRDefault="001F1BAE" w:rsidP="00FB4A2C">
      <w:pPr>
        <w:spacing w:after="120" w:line="240" w:lineRule="auto"/>
        <w:rPr>
          <w:rFonts w:ascii="Georgia" w:hAnsi="Georgia"/>
          <w:sz w:val="20"/>
          <w:szCs w:val="20"/>
          <w:lang w:val="en-US"/>
        </w:rPr>
      </w:pPr>
    </w:p>
    <w:p w:rsidR="00130C2B" w:rsidRPr="00FB4A2C" w:rsidRDefault="005E3CAE" w:rsidP="00FB4A2C">
      <w:pPr>
        <w:spacing w:after="120" w:line="240" w:lineRule="auto"/>
        <w:jc w:val="both"/>
        <w:rPr>
          <w:rFonts w:ascii="Georgia" w:hAnsi="Georgia"/>
          <w:lang w:val="en-US"/>
        </w:rPr>
      </w:pPr>
      <w:r w:rsidRPr="00FB4A2C">
        <w:rPr>
          <w:rFonts w:ascii="Georgia" w:hAnsi="Georgia"/>
          <w:lang w:val="en-US"/>
        </w:rPr>
        <w:t xml:space="preserve">I start my intervention with a quotation from the then </w:t>
      </w:r>
      <w:r w:rsidR="00F85422" w:rsidRPr="00FB4A2C">
        <w:rPr>
          <w:rFonts w:ascii="Georgia" w:hAnsi="Georgia"/>
          <w:lang w:val="en-US"/>
        </w:rPr>
        <w:t xml:space="preserve">International </w:t>
      </w:r>
      <w:r w:rsidRPr="00FB4A2C">
        <w:rPr>
          <w:rFonts w:ascii="Georgia" w:hAnsi="Georgia"/>
          <w:lang w:val="en-US"/>
        </w:rPr>
        <w:t>President of WWF</w:t>
      </w:r>
      <w:r w:rsidR="00F85422" w:rsidRPr="00FB4A2C">
        <w:rPr>
          <w:rFonts w:ascii="Georgia" w:hAnsi="Georgia"/>
          <w:lang w:val="en-US"/>
        </w:rPr>
        <w:t>,</w:t>
      </w:r>
      <w:r w:rsidRPr="00FB4A2C">
        <w:rPr>
          <w:rFonts w:ascii="Georgia" w:hAnsi="Georgia"/>
          <w:lang w:val="en-US"/>
        </w:rPr>
        <w:t xml:space="preserve"> </w:t>
      </w:r>
      <w:r w:rsidR="00421B5B" w:rsidRPr="00FB4A2C">
        <w:rPr>
          <w:rFonts w:ascii="Georgia" w:hAnsi="Georgia"/>
          <w:lang w:val="en-US"/>
        </w:rPr>
        <w:t xml:space="preserve">Chief </w:t>
      </w:r>
      <w:proofErr w:type="spellStart"/>
      <w:r w:rsidR="00421B5B" w:rsidRPr="00FB4A2C">
        <w:rPr>
          <w:rFonts w:ascii="Georgia" w:hAnsi="Georgia"/>
          <w:lang w:val="en-US"/>
        </w:rPr>
        <w:t>Anay</w:t>
      </w:r>
      <w:r w:rsidR="00FB4A2C">
        <w:rPr>
          <w:rFonts w:ascii="Georgia" w:hAnsi="Georgia"/>
          <w:lang w:val="en-US"/>
        </w:rPr>
        <w:t>ao</w:t>
      </w:r>
      <w:r w:rsidR="00421B5B" w:rsidRPr="00FB4A2C">
        <w:rPr>
          <w:rFonts w:ascii="Georgia" w:hAnsi="Georgia"/>
          <w:lang w:val="en-US"/>
        </w:rPr>
        <w:t>ku</w:t>
      </w:r>
      <w:proofErr w:type="spellEnd"/>
      <w:proofErr w:type="gramStart"/>
      <w:r w:rsidR="00F85422" w:rsidRPr="00FB4A2C">
        <w:rPr>
          <w:rFonts w:ascii="Georgia" w:hAnsi="Georgia"/>
          <w:lang w:val="en-US"/>
        </w:rPr>
        <w:t>,</w:t>
      </w:r>
      <w:r w:rsidRPr="00FB4A2C">
        <w:rPr>
          <w:rFonts w:ascii="Georgia" w:hAnsi="Georgia"/>
          <w:lang w:val="en-US"/>
        </w:rPr>
        <w:t xml:space="preserve">  at</w:t>
      </w:r>
      <w:proofErr w:type="gramEnd"/>
      <w:r w:rsidRPr="00FB4A2C">
        <w:rPr>
          <w:rFonts w:ascii="Georgia" w:hAnsi="Georgia"/>
          <w:lang w:val="en-US"/>
        </w:rPr>
        <w:t xml:space="preserve"> a major conference in Brussels </w:t>
      </w:r>
      <w:r w:rsidR="00421B5B" w:rsidRPr="00FB4A2C">
        <w:rPr>
          <w:rFonts w:ascii="Georgia" w:hAnsi="Georgia"/>
          <w:lang w:val="en-US"/>
        </w:rPr>
        <w:t>in 2007</w:t>
      </w:r>
      <w:r w:rsidR="00130C2B" w:rsidRPr="00FB4A2C">
        <w:rPr>
          <w:rFonts w:ascii="Georgia" w:hAnsi="Georgia"/>
          <w:lang w:val="en-US"/>
        </w:rPr>
        <w:t>:</w:t>
      </w:r>
    </w:p>
    <w:p w:rsidR="00130C2B" w:rsidRPr="00FB4A2C" w:rsidRDefault="005E3CAE" w:rsidP="00FB4A2C">
      <w:pPr>
        <w:autoSpaceDE w:val="0"/>
        <w:autoSpaceDN w:val="0"/>
        <w:adjustRightInd w:val="0"/>
        <w:spacing w:after="120" w:line="240" w:lineRule="auto"/>
        <w:jc w:val="both"/>
        <w:rPr>
          <w:rFonts w:ascii="Georgia" w:hAnsi="Georgia"/>
        </w:rPr>
      </w:pPr>
      <w:r w:rsidRPr="00FB4A2C">
        <w:rPr>
          <w:rFonts w:ascii="Georgia" w:hAnsi="Georgia" w:cs="Helvetica"/>
        </w:rPr>
        <w:t>“</w:t>
      </w:r>
      <w:r w:rsidR="007554FF" w:rsidRPr="00FB4A2C">
        <w:rPr>
          <w:rFonts w:ascii="Georgia" w:hAnsi="Georgia" w:cs="Helvetica"/>
        </w:rPr>
        <w:t>Our way of living is not only threatening the health and diversity of our planet’s species, but has become a huge threat to human survival as well.</w:t>
      </w:r>
    </w:p>
    <w:p w:rsidR="00A313DE" w:rsidRPr="00FB4A2C" w:rsidRDefault="00A313DE" w:rsidP="00FB4A2C">
      <w:pPr>
        <w:pStyle w:val="ListParagraph"/>
        <w:numPr>
          <w:ilvl w:val="0"/>
          <w:numId w:val="1"/>
        </w:numPr>
        <w:autoSpaceDE w:val="0"/>
        <w:autoSpaceDN w:val="0"/>
        <w:adjustRightInd w:val="0"/>
        <w:spacing w:after="120"/>
        <w:ind w:left="426" w:hanging="426"/>
        <w:jc w:val="both"/>
        <w:rPr>
          <w:rFonts w:ascii="Georgia" w:hAnsi="Georgia" w:cs="Helvetica"/>
        </w:rPr>
      </w:pPr>
      <w:r w:rsidRPr="00FB4A2C">
        <w:rPr>
          <w:rFonts w:ascii="Georgia" w:hAnsi="Georgia" w:cs="Helvetica"/>
        </w:rPr>
        <w:t>Societies cannot continue to operate as if the planet was a business in liquidation.</w:t>
      </w:r>
    </w:p>
    <w:p w:rsidR="00A313DE" w:rsidRPr="00FB4A2C" w:rsidRDefault="00A313DE" w:rsidP="00FB4A2C">
      <w:pPr>
        <w:pStyle w:val="ListParagraph"/>
        <w:numPr>
          <w:ilvl w:val="0"/>
          <w:numId w:val="1"/>
        </w:numPr>
        <w:autoSpaceDE w:val="0"/>
        <w:autoSpaceDN w:val="0"/>
        <w:adjustRightInd w:val="0"/>
        <w:spacing w:after="120"/>
        <w:ind w:left="426" w:hanging="426"/>
        <w:jc w:val="both"/>
        <w:rPr>
          <w:rFonts w:ascii="Georgia" w:hAnsi="Georgia" w:cs="Helvetica"/>
        </w:rPr>
      </w:pPr>
      <w:r w:rsidRPr="00FB4A2C">
        <w:rPr>
          <w:rFonts w:ascii="Georgia" w:hAnsi="Georgia" w:cs="Helvetica"/>
        </w:rPr>
        <w:t>We cannot continue to turn o</w:t>
      </w:r>
      <w:bookmarkStart w:id="0" w:name="_GoBack"/>
      <w:bookmarkEnd w:id="0"/>
      <w:r w:rsidRPr="00FB4A2C">
        <w:rPr>
          <w:rFonts w:ascii="Georgia" w:hAnsi="Georgia" w:cs="Helvetica"/>
        </w:rPr>
        <w:t>ur backs on pollution and call it someone else’s</w:t>
      </w:r>
      <w:r w:rsidR="007554FF" w:rsidRPr="00FB4A2C">
        <w:rPr>
          <w:rFonts w:ascii="Georgia" w:hAnsi="Georgia" w:cs="Helvetica"/>
        </w:rPr>
        <w:t xml:space="preserve"> </w:t>
      </w:r>
      <w:r w:rsidRPr="00FB4A2C">
        <w:rPr>
          <w:rFonts w:ascii="Georgia" w:hAnsi="Georgia" w:cs="Helvetica"/>
        </w:rPr>
        <w:t xml:space="preserve">problem. </w:t>
      </w:r>
    </w:p>
    <w:p w:rsidR="00F85422" w:rsidRPr="00FB4A2C" w:rsidRDefault="00A313DE" w:rsidP="00FB4A2C">
      <w:pPr>
        <w:pStyle w:val="ListParagraph"/>
        <w:numPr>
          <w:ilvl w:val="0"/>
          <w:numId w:val="2"/>
        </w:numPr>
        <w:autoSpaceDE w:val="0"/>
        <w:autoSpaceDN w:val="0"/>
        <w:adjustRightInd w:val="0"/>
        <w:spacing w:after="120"/>
        <w:ind w:left="426" w:hanging="426"/>
        <w:jc w:val="both"/>
        <w:rPr>
          <w:rFonts w:ascii="Georgia" w:hAnsi="Georgia" w:cs="Helvetica"/>
        </w:rPr>
      </w:pPr>
      <w:r w:rsidRPr="00FB4A2C">
        <w:rPr>
          <w:rFonts w:ascii="Georgia" w:hAnsi="Georgia" w:cs="Helvetica"/>
        </w:rPr>
        <w:t xml:space="preserve">We cannot continue to call income what in reality is resource depletion. </w:t>
      </w:r>
    </w:p>
    <w:p w:rsidR="00A313DE" w:rsidRPr="00FB4A2C" w:rsidRDefault="00A313DE" w:rsidP="00FB4A2C">
      <w:pPr>
        <w:pStyle w:val="ListParagraph"/>
        <w:numPr>
          <w:ilvl w:val="0"/>
          <w:numId w:val="2"/>
        </w:numPr>
        <w:autoSpaceDE w:val="0"/>
        <w:autoSpaceDN w:val="0"/>
        <w:adjustRightInd w:val="0"/>
        <w:spacing w:after="120"/>
        <w:ind w:left="426" w:hanging="426"/>
        <w:jc w:val="both"/>
        <w:rPr>
          <w:rFonts w:ascii="Georgia" w:hAnsi="Georgia" w:cs="Helvetica"/>
        </w:rPr>
      </w:pPr>
      <w:r w:rsidRPr="00FB4A2C">
        <w:rPr>
          <w:rFonts w:ascii="Georgia" w:hAnsi="Georgia" w:cs="Helvetica"/>
        </w:rPr>
        <w:t>We cannot claim economic success for development patterns that leave hundreds of millions of people marginalised and which stoke the fears of resentment and conflict.</w:t>
      </w:r>
    </w:p>
    <w:p w:rsidR="007554FF" w:rsidRPr="00FB4A2C" w:rsidRDefault="007554FF" w:rsidP="00FB4A2C">
      <w:pPr>
        <w:autoSpaceDE w:val="0"/>
        <w:autoSpaceDN w:val="0"/>
        <w:adjustRightInd w:val="0"/>
        <w:spacing w:after="120" w:line="240" w:lineRule="auto"/>
        <w:jc w:val="both"/>
        <w:rPr>
          <w:rFonts w:ascii="Georgia" w:hAnsi="Georgia" w:cs="Helvetica"/>
        </w:rPr>
      </w:pPr>
      <w:r w:rsidRPr="00FB4A2C">
        <w:rPr>
          <w:rFonts w:ascii="Georgia" w:hAnsi="Georgia" w:cs="Helvetica"/>
        </w:rPr>
        <w:t>We need to move beyond conventional economic accounting. We are calling for new ways to measure and record progress so that we can take the necessary corrective measures to set a more wise development path.</w:t>
      </w:r>
      <w:r w:rsidR="005E3CAE" w:rsidRPr="00FB4A2C">
        <w:rPr>
          <w:rFonts w:ascii="Georgia" w:hAnsi="Georgia" w:cs="Helvetica"/>
        </w:rPr>
        <w:t>”</w:t>
      </w:r>
    </w:p>
    <w:p w:rsidR="007554FF" w:rsidRPr="00FB4A2C" w:rsidRDefault="007554FF" w:rsidP="00FB4A2C">
      <w:pPr>
        <w:spacing w:after="120" w:line="240" w:lineRule="auto"/>
        <w:jc w:val="both"/>
        <w:rPr>
          <w:rFonts w:ascii="Georgia" w:hAnsi="Georgia"/>
          <w:lang w:val="en-US"/>
        </w:rPr>
      </w:pPr>
      <w:r w:rsidRPr="00FB4A2C">
        <w:rPr>
          <w:rFonts w:ascii="Georgia" w:hAnsi="Georgia" w:cs="Times New Roman"/>
        </w:rPr>
        <w:t xml:space="preserve">These were </w:t>
      </w:r>
      <w:r w:rsidR="005E3CAE" w:rsidRPr="00FB4A2C">
        <w:rPr>
          <w:rFonts w:ascii="Georgia" w:hAnsi="Georgia" w:cs="Times New Roman"/>
        </w:rPr>
        <w:t>prophetic</w:t>
      </w:r>
      <w:r w:rsidRPr="00FB4A2C">
        <w:rPr>
          <w:rFonts w:ascii="Georgia" w:hAnsi="Georgia" w:cs="Times New Roman"/>
        </w:rPr>
        <w:t xml:space="preserve"> words. It is interesting that they were made before the full impact of the financial crisis hit the USA and then Europe.</w:t>
      </w:r>
    </w:p>
    <w:p w:rsidR="003316D6" w:rsidRPr="00FB4A2C" w:rsidRDefault="00E56A2C" w:rsidP="00FB4A2C">
      <w:pPr>
        <w:spacing w:after="120" w:line="240" w:lineRule="auto"/>
        <w:jc w:val="both"/>
        <w:rPr>
          <w:rFonts w:ascii="Georgia" w:hAnsi="Georgia"/>
          <w:lang w:val="en-US"/>
        </w:rPr>
      </w:pPr>
      <w:r w:rsidRPr="00FB4A2C">
        <w:rPr>
          <w:rFonts w:ascii="Georgia" w:hAnsi="Georgia" w:cs="Times New Roman"/>
          <w:lang w:val="en-US"/>
        </w:rPr>
        <w:t>Seven years later, another WWF colleague writing on a similar subject published a book last month</w:t>
      </w:r>
      <w:r w:rsidR="007554FF" w:rsidRPr="00FB4A2C">
        <w:rPr>
          <w:rFonts w:ascii="Georgia" w:hAnsi="Georgia"/>
          <w:lang w:val="en-US"/>
        </w:rPr>
        <w:t xml:space="preserve"> - </w:t>
      </w:r>
      <w:r w:rsidR="00293FC1" w:rsidRPr="00FB4A2C">
        <w:rPr>
          <w:rFonts w:ascii="Georgia" w:hAnsi="Georgia"/>
          <w:lang w:val="en-US"/>
        </w:rPr>
        <w:t>In Pursuit of Prosperity</w:t>
      </w:r>
      <w:r w:rsidR="007554FF" w:rsidRPr="00FB4A2C">
        <w:rPr>
          <w:rFonts w:ascii="Georgia" w:hAnsi="Georgia"/>
          <w:lang w:val="en-US"/>
        </w:rPr>
        <w:t xml:space="preserve">. In 10 country </w:t>
      </w:r>
      <w:r w:rsidR="005F2AB9" w:rsidRPr="00FB4A2C">
        <w:rPr>
          <w:rFonts w:ascii="Georgia" w:hAnsi="Georgia"/>
          <w:lang w:val="en-US"/>
        </w:rPr>
        <w:t xml:space="preserve">and regional </w:t>
      </w:r>
      <w:r w:rsidR="007554FF" w:rsidRPr="00FB4A2C">
        <w:rPr>
          <w:rFonts w:ascii="Georgia" w:hAnsi="Georgia"/>
          <w:lang w:val="en-US"/>
        </w:rPr>
        <w:t xml:space="preserve">case studies </w:t>
      </w:r>
      <w:r w:rsidRPr="00FB4A2C">
        <w:rPr>
          <w:rFonts w:ascii="Georgia" w:hAnsi="Georgia"/>
          <w:lang w:val="en-US"/>
        </w:rPr>
        <w:t xml:space="preserve">from China, to Indian, to the Arctic, to Congo and Mexico onwards, </w:t>
      </w:r>
      <w:r w:rsidR="007554FF" w:rsidRPr="00FB4A2C">
        <w:rPr>
          <w:rFonts w:ascii="Georgia" w:hAnsi="Georgia"/>
          <w:lang w:val="en-US"/>
        </w:rPr>
        <w:t xml:space="preserve">David reveals </w:t>
      </w:r>
      <w:r w:rsidR="005E3CAE" w:rsidRPr="00FB4A2C">
        <w:rPr>
          <w:rFonts w:ascii="Georgia" w:hAnsi="Georgia"/>
          <w:lang w:val="en-US"/>
        </w:rPr>
        <w:t xml:space="preserve">just how far </w:t>
      </w:r>
      <w:r w:rsidR="005E3CAE" w:rsidRPr="00FB4A2C">
        <w:rPr>
          <w:rFonts w:ascii="Georgia" w:eastAsia="Times New Roman" w:hAnsi="Georgia" w:cs="Times New Roman"/>
          <w:lang w:eastAsia="en-GB"/>
        </w:rPr>
        <w:t xml:space="preserve">resource scarcity in rural areas is </w:t>
      </w:r>
      <w:r w:rsidR="003316D6" w:rsidRPr="00FB4A2C">
        <w:rPr>
          <w:rFonts w:ascii="Georgia" w:eastAsia="Times New Roman" w:hAnsi="Georgia" w:cs="Times New Roman"/>
          <w:lang w:eastAsia="en-GB"/>
        </w:rPr>
        <w:t xml:space="preserve">disrupting livelihoods and accelerating migration of tens of millions of inhabitants to urban areas. </w:t>
      </w:r>
      <w:r w:rsidR="005F2AB9" w:rsidRPr="00FB4A2C">
        <w:rPr>
          <w:rFonts w:ascii="Georgia" w:eastAsia="Times New Roman" w:hAnsi="Georgia" w:cs="Times New Roman"/>
          <w:lang w:eastAsia="en-GB"/>
        </w:rPr>
        <w:t xml:space="preserve"> </w:t>
      </w:r>
    </w:p>
    <w:p w:rsidR="003316D6" w:rsidRPr="00FB4A2C" w:rsidRDefault="003316D6" w:rsidP="00FB4A2C">
      <w:pPr>
        <w:shd w:val="clear" w:color="auto" w:fill="FFFFFF"/>
        <w:spacing w:after="120" w:line="240" w:lineRule="auto"/>
        <w:jc w:val="both"/>
        <w:textAlignment w:val="baseline"/>
        <w:rPr>
          <w:rFonts w:ascii="Georgia" w:eastAsia="Times New Roman" w:hAnsi="Georgia" w:cs="Times New Roman"/>
          <w:lang w:eastAsia="en-GB"/>
        </w:rPr>
      </w:pPr>
      <w:r w:rsidRPr="00FB4A2C">
        <w:rPr>
          <w:rFonts w:ascii="Georgia" w:eastAsia="Times New Roman" w:hAnsi="Georgia" w:cs="Times New Roman"/>
          <w:lang w:eastAsia="en-GB"/>
        </w:rPr>
        <w:t>"The question is not whether resource scarcity in other parts of the world will affect US prosperity and national security, but rather when and how. And, in equal measure, how will the US government and our economy respond to the attendant social unrest and economic disruption?"</w:t>
      </w:r>
    </w:p>
    <w:p w:rsidR="007554FF" w:rsidRPr="00FB4A2C" w:rsidRDefault="007554FF" w:rsidP="00FB4A2C">
      <w:pPr>
        <w:shd w:val="clear" w:color="auto" w:fill="FFFFFF"/>
        <w:spacing w:after="120" w:line="240" w:lineRule="auto"/>
        <w:jc w:val="both"/>
        <w:textAlignment w:val="baseline"/>
        <w:rPr>
          <w:rFonts w:ascii="Georgia" w:eastAsia="Times New Roman" w:hAnsi="Georgia" w:cs="Times New Roman"/>
          <w:lang w:eastAsia="en-GB"/>
        </w:rPr>
      </w:pPr>
      <w:r w:rsidRPr="00FB4A2C">
        <w:rPr>
          <w:rFonts w:ascii="Georgia" w:eastAsia="Times New Roman" w:hAnsi="Georgia" w:cs="Times New Roman"/>
          <w:lang w:eastAsia="en-GB"/>
        </w:rPr>
        <w:t>It reminds you of the T-shirts being worn by some of the hundreds of  climate change protestors marching through New York City a couple of weeks ago – with huge pandas printed on the front of the T-shirt the slogan bel</w:t>
      </w:r>
      <w:r w:rsidR="005E3CAE" w:rsidRPr="00FB4A2C">
        <w:rPr>
          <w:rFonts w:ascii="Georgia" w:eastAsia="Times New Roman" w:hAnsi="Georgia" w:cs="Times New Roman"/>
          <w:lang w:eastAsia="en-GB"/>
        </w:rPr>
        <w:t>o</w:t>
      </w:r>
      <w:r w:rsidRPr="00FB4A2C">
        <w:rPr>
          <w:rFonts w:ascii="Georgia" w:eastAsia="Times New Roman" w:hAnsi="Georgia" w:cs="Times New Roman"/>
          <w:lang w:eastAsia="en-GB"/>
        </w:rPr>
        <w:t>w was – “Save the Humans.”</w:t>
      </w:r>
    </w:p>
    <w:p w:rsidR="00630642" w:rsidRPr="00FB4A2C" w:rsidRDefault="005F2AB9" w:rsidP="00FB4A2C">
      <w:pPr>
        <w:spacing w:after="120" w:line="240" w:lineRule="auto"/>
        <w:jc w:val="both"/>
        <w:rPr>
          <w:rFonts w:ascii="Georgia" w:hAnsi="Georgia"/>
        </w:rPr>
      </w:pPr>
      <w:r w:rsidRPr="00FB4A2C">
        <w:rPr>
          <w:rFonts w:ascii="Georgia" w:hAnsi="Georgia"/>
        </w:rPr>
        <w:t xml:space="preserve">But I am not here to talk about the </w:t>
      </w:r>
      <w:r w:rsidR="00782E2B" w:rsidRPr="00FB4A2C">
        <w:rPr>
          <w:rFonts w:ascii="Georgia" w:hAnsi="Georgia"/>
        </w:rPr>
        <w:t xml:space="preserve">US level, or the </w:t>
      </w:r>
      <w:r w:rsidRPr="00FB4A2C">
        <w:rPr>
          <w:rFonts w:ascii="Georgia" w:hAnsi="Georgia"/>
        </w:rPr>
        <w:t>global level, but rather Europe, and specifically the EU response. It would be wrong to think that not</w:t>
      </w:r>
      <w:r w:rsidR="00782E2B" w:rsidRPr="00FB4A2C">
        <w:rPr>
          <w:rFonts w:ascii="Georgia" w:hAnsi="Georgia"/>
        </w:rPr>
        <w:t xml:space="preserve">hing has happened in response to Chief </w:t>
      </w:r>
      <w:proofErr w:type="spellStart"/>
      <w:r w:rsidR="00782E2B" w:rsidRPr="00FB4A2C">
        <w:rPr>
          <w:rFonts w:ascii="Georgia" w:hAnsi="Georgia"/>
        </w:rPr>
        <w:t>Anayaku’s</w:t>
      </w:r>
      <w:proofErr w:type="spellEnd"/>
      <w:r w:rsidR="00782E2B" w:rsidRPr="00FB4A2C">
        <w:rPr>
          <w:rFonts w:ascii="Georgia" w:hAnsi="Georgia"/>
        </w:rPr>
        <w:t xml:space="preserve"> appeal and others like him. </w:t>
      </w:r>
    </w:p>
    <w:p w:rsidR="00F85422" w:rsidRPr="00FB4A2C" w:rsidRDefault="00630642" w:rsidP="00515748">
      <w:pPr>
        <w:pStyle w:val="ListParagraph"/>
        <w:numPr>
          <w:ilvl w:val="0"/>
          <w:numId w:val="10"/>
        </w:numPr>
        <w:spacing w:after="120"/>
        <w:ind w:left="284" w:hanging="284"/>
        <w:jc w:val="both"/>
        <w:rPr>
          <w:rFonts w:ascii="Georgia" w:hAnsi="Georgia" w:cs="Calibri"/>
          <w:i/>
          <w:lang w:val="en-US"/>
        </w:rPr>
      </w:pPr>
      <w:r w:rsidRPr="00FB4A2C">
        <w:rPr>
          <w:rFonts w:ascii="Georgia" w:hAnsi="Georgia"/>
          <w:i/>
          <w:lang w:val="en-US"/>
        </w:rPr>
        <w:t>The EU adopted the Europe 2020 Strategy</w:t>
      </w:r>
      <w:r w:rsidRPr="00FB4A2C">
        <w:rPr>
          <w:rStyle w:val="FootnoteReference"/>
          <w:rFonts w:ascii="Georgia" w:hAnsi="Georgia"/>
          <w:i/>
          <w:lang w:val="en-US"/>
        </w:rPr>
        <w:footnoteReference w:id="1"/>
      </w:r>
      <w:r w:rsidR="00E56A2C" w:rsidRPr="00FB4A2C">
        <w:rPr>
          <w:rFonts w:ascii="Georgia" w:hAnsi="Georgia"/>
          <w:i/>
          <w:lang w:val="en-US"/>
        </w:rPr>
        <w:t xml:space="preserve"> early 2010 </w:t>
      </w:r>
      <w:r w:rsidR="00F85422" w:rsidRPr="00FB4A2C">
        <w:rPr>
          <w:rFonts w:ascii="Georgia" w:hAnsi="Georgia"/>
          <w:i/>
          <w:lang w:val="en-US"/>
        </w:rPr>
        <w:t>c</w:t>
      </w:r>
      <w:r w:rsidR="005036E6" w:rsidRPr="00FB4A2C">
        <w:rPr>
          <w:rFonts w:ascii="Georgia" w:hAnsi="Georgia"/>
          <w:i/>
          <w:lang w:val="en-US"/>
        </w:rPr>
        <w:t xml:space="preserve">alling for smart, </w:t>
      </w:r>
      <w:r w:rsidR="00F85422" w:rsidRPr="00FB4A2C">
        <w:rPr>
          <w:rFonts w:ascii="Georgia" w:hAnsi="Georgia"/>
          <w:i/>
          <w:lang w:val="en-US"/>
        </w:rPr>
        <w:t xml:space="preserve">sustainable </w:t>
      </w:r>
      <w:r w:rsidR="005036E6" w:rsidRPr="00FB4A2C">
        <w:rPr>
          <w:rFonts w:ascii="Georgia" w:hAnsi="Georgia"/>
          <w:i/>
          <w:lang w:val="en-US"/>
        </w:rPr>
        <w:t xml:space="preserve">and inclusive </w:t>
      </w:r>
      <w:r w:rsidR="00F85422" w:rsidRPr="00FB4A2C">
        <w:rPr>
          <w:rFonts w:ascii="Georgia" w:hAnsi="Georgia"/>
          <w:i/>
          <w:lang w:val="en-US"/>
        </w:rPr>
        <w:t>growth</w:t>
      </w:r>
    </w:p>
    <w:p w:rsidR="00630642" w:rsidRPr="00FB4A2C" w:rsidRDefault="00F85422" w:rsidP="00515748">
      <w:pPr>
        <w:pStyle w:val="ListParagraph"/>
        <w:numPr>
          <w:ilvl w:val="0"/>
          <w:numId w:val="10"/>
        </w:numPr>
        <w:spacing w:after="120"/>
        <w:ind w:left="284" w:hanging="284"/>
        <w:jc w:val="both"/>
        <w:rPr>
          <w:rFonts w:ascii="Georgia" w:hAnsi="Georgia" w:cs="Calibri"/>
          <w:i/>
          <w:lang w:val="en-US"/>
        </w:rPr>
      </w:pPr>
      <w:r w:rsidRPr="00FB4A2C">
        <w:rPr>
          <w:rFonts w:ascii="Georgia" w:hAnsi="Georgia"/>
          <w:i/>
          <w:lang w:val="en-US"/>
        </w:rPr>
        <w:t>It sub</w:t>
      </w:r>
      <w:r w:rsidR="00630642" w:rsidRPr="00FB4A2C">
        <w:rPr>
          <w:rFonts w:ascii="Georgia" w:hAnsi="Georgia"/>
          <w:i/>
          <w:lang w:val="en-US"/>
        </w:rPr>
        <w:t>sequently created the EU Semester, the implementing tool</w:t>
      </w:r>
      <w:r w:rsidR="00782E2B" w:rsidRPr="00FB4A2C">
        <w:rPr>
          <w:rFonts w:ascii="Georgia" w:hAnsi="Georgia"/>
          <w:i/>
          <w:lang w:val="en-US"/>
        </w:rPr>
        <w:t xml:space="preserve"> for intervening in Member State macro-economic policies</w:t>
      </w:r>
      <w:r w:rsidR="00630642" w:rsidRPr="00FB4A2C">
        <w:rPr>
          <w:rFonts w:ascii="Georgia" w:hAnsi="Georgia"/>
          <w:i/>
          <w:lang w:val="en-US"/>
        </w:rPr>
        <w:t>.</w:t>
      </w:r>
      <w:r w:rsidR="00630642" w:rsidRPr="00FB4A2C">
        <w:rPr>
          <w:rFonts w:ascii="Georgia" w:hAnsi="Georgia" w:cs="Calibri"/>
          <w:i/>
          <w:lang w:val="en-US"/>
        </w:rPr>
        <w:t xml:space="preserve"> </w:t>
      </w:r>
    </w:p>
    <w:p w:rsidR="00630642" w:rsidRPr="00FB4A2C" w:rsidRDefault="005036E6" w:rsidP="00515748">
      <w:pPr>
        <w:pStyle w:val="ListParagraph"/>
        <w:numPr>
          <w:ilvl w:val="0"/>
          <w:numId w:val="10"/>
        </w:numPr>
        <w:spacing w:after="120"/>
        <w:ind w:left="284" w:hanging="284"/>
        <w:jc w:val="both"/>
        <w:rPr>
          <w:rFonts w:ascii="Georgia" w:hAnsi="Georgia" w:cs="Calibri"/>
          <w:i/>
          <w:lang w:val="en-US"/>
        </w:rPr>
      </w:pPr>
      <w:r w:rsidRPr="00FB4A2C">
        <w:rPr>
          <w:rFonts w:ascii="Georgia" w:hAnsi="Georgia" w:cs="Calibri"/>
          <w:i/>
          <w:lang w:val="en-US"/>
        </w:rPr>
        <w:t>‘Resource efficient Europe’ is one of the</w:t>
      </w:r>
      <w:r w:rsidR="009D7ED2" w:rsidRPr="00FB4A2C">
        <w:rPr>
          <w:rFonts w:ascii="Georgia" w:hAnsi="Georgia" w:cs="Calibri"/>
          <w:i/>
          <w:lang w:val="en-US"/>
        </w:rPr>
        <w:t xml:space="preserve"> flagship initiative</w:t>
      </w:r>
      <w:r w:rsidRPr="00FB4A2C">
        <w:rPr>
          <w:rFonts w:ascii="Georgia" w:hAnsi="Georgia" w:cs="Calibri"/>
          <w:i/>
          <w:lang w:val="en-US"/>
        </w:rPr>
        <w:t>s</w:t>
      </w:r>
      <w:r w:rsidR="009D7ED2" w:rsidRPr="00FB4A2C">
        <w:rPr>
          <w:rFonts w:ascii="Georgia" w:hAnsi="Georgia" w:cs="Calibri"/>
          <w:i/>
          <w:lang w:val="en-US"/>
        </w:rPr>
        <w:t xml:space="preserve"> of the Europe 2020 Strategy</w:t>
      </w:r>
      <w:r w:rsidR="009D7ED2" w:rsidRPr="00FB4A2C">
        <w:rPr>
          <w:rStyle w:val="FootnoteReference"/>
          <w:rFonts w:ascii="Georgia" w:hAnsi="Georgia" w:cs="Calibri"/>
          <w:i/>
          <w:lang w:val="en-US"/>
        </w:rPr>
        <w:footnoteReference w:id="2"/>
      </w:r>
      <w:r w:rsidR="009D7ED2" w:rsidRPr="00FB4A2C">
        <w:rPr>
          <w:rFonts w:ascii="Georgia" w:hAnsi="Georgia" w:cs="Calibri"/>
          <w:i/>
          <w:lang w:val="en-US"/>
        </w:rPr>
        <w:t xml:space="preserve">. </w:t>
      </w:r>
    </w:p>
    <w:p w:rsidR="00630642" w:rsidRPr="00FB4A2C" w:rsidRDefault="009D7ED2" w:rsidP="00515748">
      <w:pPr>
        <w:pStyle w:val="ListParagraph"/>
        <w:numPr>
          <w:ilvl w:val="0"/>
          <w:numId w:val="9"/>
        </w:numPr>
        <w:autoSpaceDE w:val="0"/>
        <w:autoSpaceDN w:val="0"/>
        <w:adjustRightInd w:val="0"/>
        <w:spacing w:after="120"/>
        <w:ind w:left="284" w:hanging="284"/>
        <w:jc w:val="both"/>
        <w:rPr>
          <w:rFonts w:ascii="Georgia" w:hAnsi="Georgia" w:cs="Calibri"/>
          <w:i/>
          <w:lang w:val="en-US"/>
        </w:rPr>
      </w:pPr>
      <w:r w:rsidRPr="00FB4A2C">
        <w:rPr>
          <w:rFonts w:ascii="Georgia" w:hAnsi="Georgia" w:cs="Calibri"/>
          <w:i/>
          <w:lang w:val="en-US"/>
        </w:rPr>
        <w:t xml:space="preserve">On this basis the Commission published the 2011 </w:t>
      </w:r>
      <w:r w:rsidRPr="00FB4A2C">
        <w:rPr>
          <w:rFonts w:ascii="Georgia" w:hAnsi="Georgia" w:cs="Calibri,Italic"/>
          <w:i/>
          <w:iCs/>
          <w:lang w:val="en-US"/>
        </w:rPr>
        <w:t>Roadmap to a Resource-Efficient Europe</w:t>
      </w:r>
      <w:r w:rsidRPr="00FB4A2C">
        <w:rPr>
          <w:rStyle w:val="FootnoteReference"/>
          <w:rFonts w:ascii="Georgia" w:hAnsi="Georgia" w:cs="GaramondPremrPro"/>
          <w:lang w:val="en-US"/>
        </w:rPr>
        <w:footnoteReference w:id="3"/>
      </w:r>
      <w:r w:rsidRPr="00FB4A2C">
        <w:rPr>
          <w:rFonts w:ascii="Georgia" w:hAnsi="Georgia" w:cs="Calibri"/>
          <w:i/>
          <w:lang w:val="en-US"/>
        </w:rPr>
        <w:t xml:space="preserve">. </w:t>
      </w:r>
    </w:p>
    <w:p w:rsidR="00630642" w:rsidRPr="00FB4A2C" w:rsidRDefault="009D7ED2" w:rsidP="00515748">
      <w:pPr>
        <w:pStyle w:val="ListParagraph"/>
        <w:numPr>
          <w:ilvl w:val="0"/>
          <w:numId w:val="9"/>
        </w:numPr>
        <w:autoSpaceDE w:val="0"/>
        <w:autoSpaceDN w:val="0"/>
        <w:adjustRightInd w:val="0"/>
        <w:spacing w:after="120"/>
        <w:ind w:left="284" w:hanging="284"/>
        <w:jc w:val="both"/>
        <w:rPr>
          <w:rFonts w:ascii="Georgia" w:hAnsi="Georgia"/>
          <w:i/>
          <w:lang w:val="en-US"/>
        </w:rPr>
      </w:pPr>
      <w:r w:rsidRPr="00FB4A2C">
        <w:rPr>
          <w:rFonts w:ascii="Georgia" w:hAnsi="Georgia"/>
          <w:i/>
          <w:lang w:val="en-US"/>
        </w:rPr>
        <w:t>In the 7</w:t>
      </w:r>
      <w:r w:rsidRPr="00FB4A2C">
        <w:rPr>
          <w:rFonts w:ascii="Georgia" w:hAnsi="Georgia"/>
          <w:i/>
          <w:vertAlign w:val="superscript"/>
          <w:lang w:val="en-US"/>
        </w:rPr>
        <w:t>th</w:t>
      </w:r>
      <w:r w:rsidRPr="00FB4A2C">
        <w:rPr>
          <w:rFonts w:ascii="Georgia" w:hAnsi="Georgia"/>
          <w:i/>
          <w:lang w:val="en-US"/>
        </w:rPr>
        <w:t xml:space="preserve"> Environmental Action Programme</w:t>
      </w:r>
      <w:r w:rsidRPr="00FB4A2C">
        <w:rPr>
          <w:rStyle w:val="FootnoteReference"/>
          <w:rFonts w:ascii="Georgia" w:hAnsi="Georgia"/>
          <w:i/>
          <w:lang w:val="en-US"/>
        </w:rPr>
        <w:footnoteReference w:id="4"/>
      </w:r>
      <w:r w:rsidRPr="00FB4A2C">
        <w:rPr>
          <w:rFonts w:ascii="Georgia" w:hAnsi="Georgia"/>
          <w:i/>
          <w:lang w:val="en-US"/>
        </w:rPr>
        <w:t>, Member States and the European Parliament</w:t>
      </w:r>
      <w:r w:rsidRPr="00FB4A2C">
        <w:rPr>
          <w:rStyle w:val="FootnoteReference"/>
          <w:rFonts w:ascii="Georgia" w:hAnsi="Georgia"/>
          <w:i/>
          <w:lang w:val="en-US"/>
        </w:rPr>
        <w:footnoteReference w:id="5"/>
      </w:r>
      <w:r w:rsidRPr="00FB4A2C">
        <w:rPr>
          <w:rFonts w:ascii="Georgia" w:hAnsi="Georgia"/>
          <w:i/>
          <w:lang w:val="en-US"/>
        </w:rPr>
        <w:t xml:space="preserve"> agreed that the EU should establish indicators and set targets for resource </w:t>
      </w:r>
      <w:r w:rsidRPr="00FB4A2C">
        <w:rPr>
          <w:rFonts w:ascii="Georgia" w:hAnsi="Georgia"/>
          <w:i/>
          <w:lang w:val="en-US"/>
        </w:rPr>
        <w:lastRenderedPageBreak/>
        <w:t>efficiency, and assess the appropriateness of a lead indicator and target in the European Semester. A 30% resource productivity target by 2030 has been suggested by the Commission</w:t>
      </w:r>
      <w:r w:rsidRPr="00FB4A2C">
        <w:rPr>
          <w:rStyle w:val="FootnoteReference"/>
          <w:rFonts w:ascii="Georgia" w:hAnsi="Georgia"/>
          <w:i/>
          <w:lang w:val="en-US"/>
        </w:rPr>
        <w:footnoteReference w:id="6"/>
      </w:r>
      <w:r w:rsidRPr="00FB4A2C">
        <w:rPr>
          <w:rFonts w:ascii="Georgia" w:hAnsi="Georgia"/>
          <w:i/>
          <w:lang w:val="en-US"/>
        </w:rPr>
        <w:t>.</w:t>
      </w:r>
    </w:p>
    <w:p w:rsidR="005224E6" w:rsidRPr="00FB4A2C" w:rsidRDefault="005224E6" w:rsidP="00515748">
      <w:pPr>
        <w:pStyle w:val="ListParagraph"/>
        <w:numPr>
          <w:ilvl w:val="0"/>
          <w:numId w:val="9"/>
        </w:numPr>
        <w:autoSpaceDE w:val="0"/>
        <w:autoSpaceDN w:val="0"/>
        <w:adjustRightInd w:val="0"/>
        <w:spacing w:after="120"/>
        <w:ind w:left="284" w:hanging="284"/>
        <w:jc w:val="both"/>
        <w:rPr>
          <w:rFonts w:ascii="Georgia" w:hAnsi="Georgia"/>
          <w:i/>
          <w:lang w:val="en-US"/>
        </w:rPr>
      </w:pPr>
      <w:r w:rsidRPr="00FB4A2C">
        <w:rPr>
          <w:rFonts w:ascii="Georgia" w:hAnsi="Georgia"/>
          <w:i/>
          <w:lang w:val="en-US"/>
        </w:rPr>
        <w:t>The EU 2020 Biodiversity Strategy</w:t>
      </w:r>
      <w:r w:rsidRPr="00FB4A2C">
        <w:rPr>
          <w:rStyle w:val="FootnoteReference"/>
          <w:rFonts w:ascii="Georgia" w:hAnsi="Georgia"/>
          <w:i/>
          <w:lang w:val="en-US"/>
        </w:rPr>
        <w:footnoteReference w:id="7"/>
      </w:r>
      <w:r w:rsidRPr="00FB4A2C">
        <w:rPr>
          <w:rFonts w:ascii="Georgia" w:hAnsi="Georgia"/>
          <w:i/>
          <w:lang w:val="en-US"/>
        </w:rPr>
        <w:t xml:space="preserve"> </w:t>
      </w:r>
      <w:r w:rsidRPr="00FB4A2C">
        <w:rPr>
          <w:rFonts w:ascii="Georgia" w:hAnsi="Georgia"/>
          <w:i/>
          <w:iCs/>
          <w:lang w:val="en-US"/>
        </w:rPr>
        <w:t>endorsed by the Council in 2011</w:t>
      </w:r>
      <w:r w:rsidRPr="00FB4A2C">
        <w:rPr>
          <w:rStyle w:val="FootnoteReference"/>
          <w:rFonts w:ascii="Georgia" w:hAnsi="Georgia"/>
          <w:i/>
          <w:iCs/>
          <w:lang w:val="en-US"/>
        </w:rPr>
        <w:footnoteReference w:id="8"/>
      </w:r>
      <w:r w:rsidRPr="00FB4A2C">
        <w:rPr>
          <w:rFonts w:ascii="Georgia" w:hAnsi="Georgia"/>
          <w:i/>
          <w:iCs/>
          <w:lang w:val="en-US"/>
        </w:rPr>
        <w:t xml:space="preserve"> </w:t>
      </w:r>
      <w:r w:rsidR="005036E6" w:rsidRPr="00FB4A2C">
        <w:rPr>
          <w:rFonts w:ascii="Georgia" w:hAnsi="Georgia"/>
          <w:i/>
          <w:lang w:val="en-US"/>
        </w:rPr>
        <w:t>put</w:t>
      </w:r>
      <w:r w:rsidRPr="00FB4A2C">
        <w:rPr>
          <w:rFonts w:ascii="Georgia" w:hAnsi="Georgia"/>
          <w:i/>
          <w:lang w:val="en-US"/>
        </w:rPr>
        <w:t xml:space="preserve"> forward a commitment for Member States to map and assess their ecosystems services by 2014 and ‘promote the integration of these values into accounting and reporting systems at EU and national levels by 2020’</w:t>
      </w:r>
      <w:r w:rsidRPr="00FB4A2C">
        <w:rPr>
          <w:rStyle w:val="FootnoteReference"/>
          <w:rFonts w:ascii="Georgia" w:hAnsi="Georgia"/>
          <w:i/>
          <w:lang w:val="en-US"/>
        </w:rPr>
        <w:footnoteReference w:id="9"/>
      </w:r>
      <w:r w:rsidRPr="00FB4A2C">
        <w:rPr>
          <w:rFonts w:ascii="Georgia" w:hAnsi="Georgia"/>
          <w:i/>
          <w:lang w:val="en-US"/>
        </w:rPr>
        <w:t xml:space="preserve">. </w:t>
      </w:r>
    </w:p>
    <w:p w:rsidR="00E56A2C" w:rsidRPr="00FB4A2C" w:rsidRDefault="005224E6" w:rsidP="00515748">
      <w:pPr>
        <w:pStyle w:val="ListParagraph"/>
        <w:numPr>
          <w:ilvl w:val="0"/>
          <w:numId w:val="9"/>
        </w:numPr>
        <w:autoSpaceDE w:val="0"/>
        <w:autoSpaceDN w:val="0"/>
        <w:adjustRightInd w:val="0"/>
        <w:spacing w:after="120"/>
        <w:ind w:left="284" w:hanging="284"/>
        <w:jc w:val="both"/>
        <w:rPr>
          <w:rFonts w:ascii="Georgia" w:hAnsi="Georgia"/>
          <w:i/>
          <w:lang w:val="en-US"/>
        </w:rPr>
      </w:pPr>
      <w:r w:rsidRPr="00FB4A2C">
        <w:rPr>
          <w:rFonts w:ascii="Georgia" w:hAnsi="Georgia"/>
          <w:i/>
          <w:lang w:val="en-US"/>
        </w:rPr>
        <w:t>In2011, the Regulation on European Environmental Economic Accounts</w:t>
      </w:r>
      <w:r w:rsidRPr="00FB4A2C">
        <w:rPr>
          <w:rStyle w:val="FootnoteReference"/>
          <w:rFonts w:ascii="Georgia" w:hAnsi="Georgia"/>
          <w:i/>
          <w:lang w:val="en-US"/>
        </w:rPr>
        <w:footnoteReference w:id="10"/>
      </w:r>
      <w:r w:rsidRPr="00FB4A2C">
        <w:rPr>
          <w:rFonts w:ascii="Georgia" w:hAnsi="Georgia"/>
          <w:i/>
          <w:lang w:val="en-US"/>
        </w:rPr>
        <w:t xml:space="preserve"> was adopted: it requires Member States to regularly report on several environmental areas (‘modules’). </w:t>
      </w:r>
    </w:p>
    <w:p w:rsidR="005224E6" w:rsidRPr="00FB4A2C" w:rsidRDefault="005224E6" w:rsidP="00515748">
      <w:pPr>
        <w:pStyle w:val="ListParagraph"/>
        <w:numPr>
          <w:ilvl w:val="0"/>
          <w:numId w:val="9"/>
        </w:numPr>
        <w:autoSpaceDE w:val="0"/>
        <w:autoSpaceDN w:val="0"/>
        <w:adjustRightInd w:val="0"/>
        <w:spacing w:after="120"/>
        <w:ind w:left="284" w:hanging="284"/>
        <w:jc w:val="both"/>
        <w:rPr>
          <w:rFonts w:ascii="Georgia" w:hAnsi="Georgia"/>
          <w:i/>
          <w:lang w:val="en-US"/>
        </w:rPr>
      </w:pPr>
      <w:r w:rsidRPr="00FB4A2C">
        <w:rPr>
          <w:rFonts w:ascii="Georgia" w:hAnsi="Georgia"/>
          <w:i/>
          <w:lang w:val="en-US"/>
        </w:rPr>
        <w:t>The regulation allows for new modules to be introduced, such as a module on ecosystem s</w:t>
      </w:r>
      <w:r w:rsidR="005036E6" w:rsidRPr="00FB4A2C">
        <w:rPr>
          <w:rFonts w:ascii="Georgia" w:hAnsi="Georgia"/>
          <w:i/>
          <w:lang w:val="en-US"/>
        </w:rPr>
        <w:t>ervices</w:t>
      </w:r>
      <w:r w:rsidRPr="00FB4A2C">
        <w:rPr>
          <w:rFonts w:ascii="Georgia" w:hAnsi="Georgia"/>
          <w:i/>
          <w:lang w:val="en-US"/>
        </w:rPr>
        <w:t>; the next opportunities for adding new modules are 2016 and 2019.</w:t>
      </w:r>
    </w:p>
    <w:p w:rsidR="009D7ED2" w:rsidRPr="00FB4A2C" w:rsidRDefault="009D7ED2" w:rsidP="00515748">
      <w:pPr>
        <w:pStyle w:val="ListParagraph"/>
        <w:numPr>
          <w:ilvl w:val="0"/>
          <w:numId w:val="9"/>
        </w:numPr>
        <w:autoSpaceDE w:val="0"/>
        <w:autoSpaceDN w:val="0"/>
        <w:adjustRightInd w:val="0"/>
        <w:spacing w:after="120"/>
        <w:ind w:left="284" w:hanging="284"/>
        <w:jc w:val="both"/>
        <w:rPr>
          <w:rFonts w:ascii="Georgia" w:hAnsi="Georgia"/>
          <w:i/>
          <w:lang w:val="en-US"/>
        </w:rPr>
      </w:pPr>
      <w:r w:rsidRPr="00FB4A2C">
        <w:rPr>
          <w:rFonts w:ascii="Georgia" w:hAnsi="Georgia"/>
          <w:i/>
          <w:lang w:val="en-US"/>
        </w:rPr>
        <w:t>In 2014 the Commission published a progress review</w:t>
      </w:r>
      <w:r w:rsidRPr="00FB4A2C">
        <w:rPr>
          <w:rStyle w:val="FootnoteReference"/>
          <w:rFonts w:ascii="Georgia" w:hAnsi="Georgia"/>
          <w:i/>
          <w:lang w:val="en-US"/>
        </w:rPr>
        <w:footnoteReference w:id="11"/>
      </w:r>
      <w:r w:rsidRPr="00FB4A2C">
        <w:rPr>
          <w:rFonts w:ascii="Georgia" w:hAnsi="Georgia"/>
          <w:i/>
          <w:lang w:val="en-US"/>
        </w:rPr>
        <w:t>, opening a public consultation to revise the Europe 2020 Strategy in 2014-2015.</w:t>
      </w:r>
    </w:p>
    <w:p w:rsidR="00D23ACD" w:rsidRPr="00FB4A2C" w:rsidRDefault="00630642" w:rsidP="00515748">
      <w:pPr>
        <w:pStyle w:val="ListParagraph"/>
        <w:numPr>
          <w:ilvl w:val="0"/>
          <w:numId w:val="9"/>
        </w:numPr>
        <w:autoSpaceDE w:val="0"/>
        <w:autoSpaceDN w:val="0"/>
        <w:adjustRightInd w:val="0"/>
        <w:spacing w:after="120"/>
        <w:ind w:left="284" w:hanging="284"/>
        <w:jc w:val="both"/>
        <w:rPr>
          <w:rFonts w:ascii="Georgia" w:hAnsi="Georgia"/>
          <w:i/>
          <w:lang w:val="en-US"/>
        </w:rPr>
      </w:pPr>
      <w:r w:rsidRPr="00FB4A2C">
        <w:rPr>
          <w:rFonts w:ascii="Georgia" w:hAnsi="Georgia"/>
          <w:i/>
          <w:lang w:val="en-US"/>
        </w:rPr>
        <w:t>Also in 2014, barely a few weeks ago, the Commission published various proposals under the Circular Economy package.</w:t>
      </w:r>
      <w:r w:rsidR="00D23ACD" w:rsidRPr="00FB4A2C">
        <w:rPr>
          <w:rFonts w:ascii="Georgia" w:hAnsi="Georgia"/>
          <w:i/>
          <w:lang w:val="en-US"/>
        </w:rPr>
        <w:t xml:space="preserve"> Introducing the package, Commissioner </w:t>
      </w:r>
      <w:proofErr w:type="spellStart"/>
      <w:r w:rsidR="00D23ACD" w:rsidRPr="00FB4A2C">
        <w:rPr>
          <w:rFonts w:ascii="Georgia" w:hAnsi="Georgia"/>
          <w:i/>
          <w:lang w:val="en-US"/>
        </w:rPr>
        <w:t>Potocnik</w:t>
      </w:r>
      <w:proofErr w:type="spellEnd"/>
      <w:r w:rsidR="00D23ACD" w:rsidRPr="00FB4A2C">
        <w:rPr>
          <w:rFonts w:ascii="Georgia" w:hAnsi="Georgia"/>
          <w:i/>
          <w:lang w:val="en-US"/>
        </w:rPr>
        <w:t xml:space="preserve"> repeated his now </w:t>
      </w:r>
      <w:r w:rsidR="00515748" w:rsidRPr="00FB4A2C">
        <w:rPr>
          <w:rFonts w:ascii="Georgia" w:hAnsi="Georgia"/>
          <w:i/>
          <w:lang w:val="en-US"/>
        </w:rPr>
        <w:t>well-known</w:t>
      </w:r>
      <w:r w:rsidR="00D23ACD" w:rsidRPr="00FB4A2C">
        <w:rPr>
          <w:rFonts w:ascii="Georgia" w:hAnsi="Georgia"/>
          <w:i/>
          <w:lang w:val="en-US"/>
        </w:rPr>
        <w:t xml:space="preserve"> theme. Resource costs make up a significant part of the cost structure of European business. EU manufacturing firms spend on average 40% of their costs on raw materials (going up), far more than labour costs (around 20%, going down) or energy costs</w:t>
      </w:r>
      <w:r w:rsidR="00D23ACD" w:rsidRPr="00FB4A2C">
        <w:rPr>
          <w:rStyle w:val="FootnoteReference"/>
          <w:rFonts w:ascii="Georgia" w:hAnsi="Georgia"/>
          <w:i/>
          <w:lang w:val="en-US"/>
        </w:rPr>
        <w:footnoteReference w:id="12"/>
      </w:r>
      <w:r w:rsidR="00D23ACD" w:rsidRPr="00FB4A2C">
        <w:rPr>
          <w:rFonts w:ascii="Georgia" w:hAnsi="Georgia"/>
          <w:i/>
          <w:lang w:val="en-US"/>
        </w:rPr>
        <w:t>.</w:t>
      </w:r>
      <w:r w:rsidR="00F57532" w:rsidRPr="00FB4A2C">
        <w:rPr>
          <w:rFonts w:ascii="Georgia" w:hAnsi="Georgia"/>
          <w:i/>
          <w:lang w:val="en-US"/>
        </w:rPr>
        <w:t xml:space="preserve"> </w:t>
      </w:r>
      <w:r w:rsidR="00D23ACD" w:rsidRPr="00FB4A2C">
        <w:rPr>
          <w:rFonts w:ascii="Georgia" w:hAnsi="Georgia"/>
          <w:i/>
          <w:lang w:val="en-US"/>
        </w:rPr>
        <w:t>Improving resource efficiency – in other words, producing products and services with fewer resources and reducing EU imports of resources – is set to become more important than labour productivity as a driver of competitive advantage.</w:t>
      </w:r>
    </w:p>
    <w:p w:rsidR="00630642" w:rsidRPr="00FB4A2C" w:rsidRDefault="00D23ACD" w:rsidP="00FB4A2C">
      <w:pPr>
        <w:spacing w:after="120" w:line="240" w:lineRule="auto"/>
        <w:jc w:val="both"/>
        <w:rPr>
          <w:rFonts w:ascii="Georgia" w:hAnsi="Georgia"/>
          <w:lang w:val="en-US"/>
        </w:rPr>
      </w:pPr>
      <w:r w:rsidRPr="00FB4A2C">
        <w:rPr>
          <w:rFonts w:ascii="Georgia" w:hAnsi="Georgia"/>
          <w:lang w:val="en-US"/>
        </w:rPr>
        <w:t xml:space="preserve">These are just some examples of what might be called a greening economy process getting underway at European level. </w:t>
      </w:r>
      <w:r w:rsidR="00F57532" w:rsidRPr="00FB4A2C">
        <w:rPr>
          <w:rFonts w:ascii="Georgia" w:hAnsi="Georgia"/>
          <w:lang w:val="en-US"/>
        </w:rPr>
        <w:t xml:space="preserve">It is not a complete list. And there are some other initiatives – like a sustainability </w:t>
      </w:r>
      <w:r w:rsidR="00515748" w:rsidRPr="00FB4A2C">
        <w:rPr>
          <w:rFonts w:ascii="Georgia" w:hAnsi="Georgia"/>
          <w:lang w:val="en-US"/>
        </w:rPr>
        <w:t>scorecard -</w:t>
      </w:r>
      <w:r w:rsidR="00E56A2C" w:rsidRPr="00FB4A2C">
        <w:rPr>
          <w:rFonts w:ascii="Georgia" w:hAnsi="Georgia"/>
          <w:lang w:val="en-US"/>
        </w:rPr>
        <w:t xml:space="preserve"> </w:t>
      </w:r>
      <w:r w:rsidR="00F57532" w:rsidRPr="00FB4A2C">
        <w:rPr>
          <w:rFonts w:ascii="Georgia" w:hAnsi="Georgia"/>
          <w:lang w:val="en-US"/>
        </w:rPr>
        <w:t>that have fared less well running into data and methodological problems.</w:t>
      </w:r>
    </w:p>
    <w:p w:rsidR="00F57532" w:rsidRPr="00FB4A2C" w:rsidRDefault="00F57532" w:rsidP="00FB4A2C">
      <w:pPr>
        <w:spacing w:after="120" w:line="240" w:lineRule="auto"/>
        <w:jc w:val="both"/>
        <w:rPr>
          <w:rFonts w:ascii="Georgia" w:hAnsi="Georgia"/>
          <w:lang w:val="en-US"/>
        </w:rPr>
      </w:pPr>
      <w:r w:rsidRPr="00FB4A2C">
        <w:rPr>
          <w:rFonts w:ascii="Georgia" w:hAnsi="Georgia"/>
          <w:lang w:val="en-US"/>
        </w:rPr>
        <w:t xml:space="preserve">I think it is right </w:t>
      </w:r>
      <w:r w:rsidR="00E56A2C" w:rsidRPr="00FB4A2C">
        <w:rPr>
          <w:rFonts w:ascii="Georgia" w:hAnsi="Georgia"/>
          <w:lang w:val="en-US"/>
        </w:rPr>
        <w:t xml:space="preserve">at this point </w:t>
      </w:r>
      <w:r w:rsidRPr="00FB4A2C">
        <w:rPr>
          <w:rFonts w:ascii="Georgia" w:hAnsi="Georgia"/>
          <w:lang w:val="en-US"/>
        </w:rPr>
        <w:t>to ask three questions:</w:t>
      </w:r>
    </w:p>
    <w:p w:rsidR="00F57532" w:rsidRPr="00FB4A2C" w:rsidRDefault="00F57532" w:rsidP="00515748">
      <w:pPr>
        <w:pStyle w:val="ListParagraph"/>
        <w:numPr>
          <w:ilvl w:val="0"/>
          <w:numId w:val="12"/>
        </w:numPr>
        <w:spacing w:after="120"/>
        <w:ind w:left="284" w:hanging="284"/>
        <w:jc w:val="both"/>
        <w:rPr>
          <w:rFonts w:ascii="Georgia" w:hAnsi="Georgia"/>
          <w:lang w:val="en-US"/>
        </w:rPr>
      </w:pPr>
      <w:r w:rsidRPr="00FB4A2C">
        <w:rPr>
          <w:rFonts w:ascii="Georgia" w:hAnsi="Georgia"/>
          <w:lang w:val="en-US"/>
        </w:rPr>
        <w:t>Why is it happening now?</w:t>
      </w:r>
    </w:p>
    <w:p w:rsidR="00F57532" w:rsidRPr="00FB4A2C" w:rsidRDefault="00F57532" w:rsidP="00515748">
      <w:pPr>
        <w:pStyle w:val="ListParagraph"/>
        <w:numPr>
          <w:ilvl w:val="0"/>
          <w:numId w:val="12"/>
        </w:numPr>
        <w:spacing w:after="120"/>
        <w:ind w:left="284" w:hanging="284"/>
        <w:jc w:val="both"/>
        <w:rPr>
          <w:rFonts w:ascii="Georgia" w:hAnsi="Georgia"/>
          <w:lang w:val="en-US"/>
        </w:rPr>
      </w:pPr>
      <w:r w:rsidRPr="00FB4A2C">
        <w:rPr>
          <w:rFonts w:ascii="Georgia" w:hAnsi="Georgia"/>
          <w:lang w:val="en-US"/>
        </w:rPr>
        <w:t>How much political commitm</w:t>
      </w:r>
      <w:r w:rsidR="00E56A2C" w:rsidRPr="00FB4A2C">
        <w:rPr>
          <w:rFonts w:ascii="Georgia" w:hAnsi="Georgia"/>
          <w:lang w:val="en-US"/>
        </w:rPr>
        <w:t>ent lies behind this transition</w:t>
      </w:r>
      <w:r w:rsidRPr="00FB4A2C">
        <w:rPr>
          <w:rFonts w:ascii="Georgia" w:hAnsi="Georgia"/>
          <w:lang w:val="en-US"/>
        </w:rPr>
        <w:t>?</w:t>
      </w:r>
      <w:r w:rsidR="00E56A2C" w:rsidRPr="00FB4A2C">
        <w:rPr>
          <w:rFonts w:ascii="Georgia" w:hAnsi="Georgia"/>
          <w:lang w:val="en-US"/>
        </w:rPr>
        <w:t xml:space="preserve">  Is it indeed a transition?</w:t>
      </w:r>
    </w:p>
    <w:p w:rsidR="00F57532" w:rsidRPr="00FB4A2C" w:rsidRDefault="00F57532" w:rsidP="00515748">
      <w:pPr>
        <w:pStyle w:val="ListParagraph"/>
        <w:numPr>
          <w:ilvl w:val="0"/>
          <w:numId w:val="12"/>
        </w:numPr>
        <w:spacing w:after="120"/>
        <w:ind w:left="284" w:hanging="284"/>
        <w:jc w:val="both"/>
        <w:rPr>
          <w:rFonts w:ascii="Georgia" w:hAnsi="Georgia"/>
          <w:lang w:val="en-US"/>
        </w:rPr>
      </w:pPr>
      <w:r w:rsidRPr="00FB4A2C">
        <w:rPr>
          <w:rFonts w:ascii="Georgia" w:hAnsi="Georgia"/>
          <w:lang w:val="en-US"/>
        </w:rPr>
        <w:t>Is it enough?</w:t>
      </w:r>
    </w:p>
    <w:p w:rsidR="00E56A2C" w:rsidRPr="00FB4A2C" w:rsidRDefault="00630642" w:rsidP="00FB4A2C">
      <w:pPr>
        <w:spacing w:after="120" w:line="240" w:lineRule="auto"/>
        <w:jc w:val="both"/>
        <w:rPr>
          <w:rFonts w:ascii="Georgia" w:hAnsi="Georgia"/>
          <w:lang w:val="en-US"/>
        </w:rPr>
      </w:pPr>
      <w:r w:rsidRPr="00FB4A2C">
        <w:rPr>
          <w:rFonts w:ascii="Georgia" w:hAnsi="Georgia"/>
          <w:lang w:val="en-US"/>
        </w:rPr>
        <w:t xml:space="preserve">Evidence suggests that economic growth in Europe tends to be </w:t>
      </w:r>
      <w:r w:rsidRPr="00FB4A2C">
        <w:rPr>
          <w:rFonts w:ascii="Georgia" w:hAnsi="Georgia"/>
          <w:i/>
          <w:lang w:val="en-US"/>
        </w:rPr>
        <w:t>structurally</w:t>
      </w:r>
      <w:r w:rsidRPr="00FB4A2C">
        <w:rPr>
          <w:rFonts w:ascii="Georgia" w:hAnsi="Georgia"/>
          <w:lang w:val="en-US"/>
        </w:rPr>
        <w:t xml:space="preserve"> going down (whatever policy and government) and is now historically low. For example in France, based on official INSEE statistics the economist </w:t>
      </w:r>
      <w:proofErr w:type="spellStart"/>
      <w:r w:rsidRPr="00FB4A2C">
        <w:rPr>
          <w:rFonts w:ascii="Georgia" w:hAnsi="Georgia"/>
          <w:lang w:val="en-US"/>
        </w:rPr>
        <w:t>Grandjean</w:t>
      </w:r>
      <w:proofErr w:type="spellEnd"/>
      <w:r w:rsidRPr="00FB4A2C">
        <w:rPr>
          <w:rFonts w:ascii="Georgia" w:hAnsi="Georgia"/>
          <w:lang w:val="en-US"/>
        </w:rPr>
        <w:t xml:space="preserve"> calculated the average economic growth per </w:t>
      </w:r>
      <w:r w:rsidR="00B06464" w:rsidRPr="00FB4A2C">
        <w:rPr>
          <w:rFonts w:ascii="Georgia" w:hAnsi="Georgia"/>
          <w:lang w:val="en-US"/>
        </w:rPr>
        <w:t xml:space="preserve">decade in the last fifty years is moving structurally downwards : </w:t>
      </w:r>
    </w:p>
    <w:p w:rsidR="00515748" w:rsidRDefault="00515748">
      <w:pPr>
        <w:rPr>
          <w:rFonts w:ascii="Georgia" w:hAnsi="Georgia"/>
          <w:b/>
          <w:lang w:val="en-US"/>
        </w:rPr>
      </w:pPr>
      <w:r>
        <w:rPr>
          <w:rFonts w:ascii="Georgia" w:hAnsi="Georgia"/>
          <w:b/>
          <w:lang w:val="en-US"/>
        </w:rPr>
        <w:br w:type="page"/>
      </w:r>
    </w:p>
    <w:p w:rsidR="00630642" w:rsidRPr="00FB4A2C" w:rsidRDefault="00630642" w:rsidP="00515748">
      <w:pPr>
        <w:spacing w:after="120" w:line="240" w:lineRule="auto"/>
        <w:jc w:val="center"/>
        <w:rPr>
          <w:rFonts w:ascii="Georgia" w:hAnsi="Georgia"/>
          <w:b/>
          <w:lang w:val="en-US"/>
        </w:rPr>
      </w:pPr>
      <w:r w:rsidRPr="00FB4A2C">
        <w:rPr>
          <w:rFonts w:ascii="Georgia" w:hAnsi="Georgia"/>
          <w:b/>
          <w:lang w:val="en-US"/>
        </w:rPr>
        <w:lastRenderedPageBreak/>
        <w:t>Figure XX. Annual evolution of French GDP per capita and decade average in the period 1960-2009</w:t>
      </w:r>
    </w:p>
    <w:p w:rsidR="00630642" w:rsidRPr="00FB4A2C" w:rsidRDefault="00630642" w:rsidP="00515748">
      <w:pPr>
        <w:spacing w:after="120" w:line="240" w:lineRule="auto"/>
        <w:jc w:val="center"/>
        <w:rPr>
          <w:rFonts w:ascii="Georgia" w:hAnsi="Georgia"/>
          <w:sz w:val="20"/>
          <w:szCs w:val="20"/>
          <w:lang w:val="en-US"/>
        </w:rPr>
      </w:pPr>
      <w:r w:rsidRPr="00FB4A2C">
        <w:rPr>
          <w:rFonts w:ascii="Georgia" w:hAnsi="Georgia"/>
          <w:noProof/>
          <w:sz w:val="20"/>
          <w:szCs w:val="20"/>
          <w:lang w:val="el-GR" w:eastAsia="el-GR"/>
        </w:rPr>
        <w:drawing>
          <wp:inline distT="0" distB="0" distL="0" distR="0" wp14:anchorId="6A6D852E" wp14:editId="069B1BFE">
            <wp:extent cx="4914900" cy="3303457"/>
            <wp:effectExtent l="0" t="0" r="0" b="0"/>
            <wp:docPr id="1" name="Picture 1" descr="http://alaingrandjean.fr/wp-content/uploads/2012/05/imagepab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aingrandjean.fr/wp-content/uploads/2012/05/imagepabl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3303457"/>
                    </a:xfrm>
                    <a:prstGeom prst="rect">
                      <a:avLst/>
                    </a:prstGeom>
                    <a:noFill/>
                    <a:ln>
                      <a:noFill/>
                    </a:ln>
                  </pic:spPr>
                </pic:pic>
              </a:graphicData>
            </a:graphic>
          </wp:inline>
        </w:drawing>
      </w:r>
    </w:p>
    <w:p w:rsidR="00630642" w:rsidRPr="00FB4A2C" w:rsidRDefault="00630642" w:rsidP="00515748">
      <w:pPr>
        <w:spacing w:after="120" w:line="240" w:lineRule="auto"/>
        <w:jc w:val="center"/>
        <w:rPr>
          <w:rFonts w:ascii="Georgia" w:hAnsi="Georgia"/>
          <w:sz w:val="20"/>
          <w:szCs w:val="20"/>
          <w:lang w:val="fr-BE"/>
        </w:rPr>
      </w:pPr>
      <w:r w:rsidRPr="00FB4A2C">
        <w:rPr>
          <w:rFonts w:ascii="Georgia" w:hAnsi="Georgia"/>
          <w:sz w:val="20"/>
          <w:szCs w:val="20"/>
          <w:lang w:val="fr-BE"/>
        </w:rPr>
        <w:t xml:space="preserve">Source: </w:t>
      </w:r>
      <w:hyperlink r:id="rId9" w:history="1">
        <w:r w:rsidRPr="00FB4A2C">
          <w:rPr>
            <w:rStyle w:val="Hyperlink"/>
            <w:rFonts w:ascii="Georgia" w:hAnsi="Georgia"/>
            <w:color w:val="auto"/>
            <w:sz w:val="20"/>
            <w:szCs w:val="20"/>
            <w:lang w:val="fr-BE"/>
          </w:rPr>
          <w:t>http://alaingrandjean.fr/2012/05/25/a-la-recherche-de-la-croissance-perdue/</w:t>
        </w:r>
      </w:hyperlink>
    </w:p>
    <w:p w:rsidR="00630642" w:rsidRPr="00FB4A2C" w:rsidRDefault="00630642" w:rsidP="00FB4A2C">
      <w:pPr>
        <w:spacing w:after="120" w:line="240" w:lineRule="auto"/>
        <w:jc w:val="both"/>
        <w:rPr>
          <w:rFonts w:ascii="Georgia" w:hAnsi="Georgia"/>
          <w:sz w:val="20"/>
          <w:szCs w:val="20"/>
          <w:lang w:val="en-US"/>
        </w:rPr>
      </w:pPr>
      <w:r w:rsidRPr="00FB4A2C">
        <w:rPr>
          <w:rFonts w:ascii="Georgia" w:hAnsi="Georgia"/>
          <w:sz w:val="20"/>
          <w:szCs w:val="20"/>
          <w:lang w:val="en-US"/>
        </w:rPr>
        <w:t xml:space="preserve">At the EU level, the President of the European Central Bank </w:t>
      </w:r>
      <w:proofErr w:type="spellStart"/>
      <w:r w:rsidRPr="00FB4A2C">
        <w:rPr>
          <w:rFonts w:ascii="Georgia" w:hAnsi="Georgia"/>
          <w:sz w:val="20"/>
          <w:szCs w:val="20"/>
          <w:lang w:val="en-US"/>
        </w:rPr>
        <w:t>Mr</w:t>
      </w:r>
      <w:proofErr w:type="spellEnd"/>
      <w:r w:rsidRPr="00FB4A2C">
        <w:rPr>
          <w:rFonts w:ascii="Georgia" w:hAnsi="Georgia"/>
          <w:sz w:val="20"/>
          <w:szCs w:val="20"/>
          <w:lang w:val="en-US"/>
        </w:rPr>
        <w:t xml:space="preserve"> </w:t>
      </w:r>
      <w:proofErr w:type="spellStart"/>
      <w:proofErr w:type="gramStart"/>
      <w:r w:rsidRPr="00FB4A2C">
        <w:rPr>
          <w:rFonts w:ascii="Georgia" w:hAnsi="Georgia"/>
          <w:sz w:val="20"/>
          <w:szCs w:val="20"/>
          <w:lang w:val="en-US"/>
        </w:rPr>
        <w:t>Draghi</w:t>
      </w:r>
      <w:proofErr w:type="spellEnd"/>
      <w:r w:rsidRPr="00FB4A2C">
        <w:rPr>
          <w:rFonts w:ascii="Georgia" w:hAnsi="Georgia"/>
          <w:sz w:val="20"/>
          <w:szCs w:val="20"/>
          <w:lang w:val="en-US"/>
        </w:rPr>
        <w:t>,</w:t>
      </w:r>
      <w:proofErr w:type="gramEnd"/>
      <w:r w:rsidRPr="00FB4A2C">
        <w:rPr>
          <w:rFonts w:ascii="Georgia" w:hAnsi="Georgia"/>
          <w:sz w:val="20"/>
          <w:szCs w:val="20"/>
          <w:lang w:val="en-US"/>
        </w:rPr>
        <w:t xml:space="preserve"> declared recently that growth in Europe is “weak, fragile and uneven”</w:t>
      </w:r>
      <w:r w:rsidRPr="00FB4A2C">
        <w:rPr>
          <w:rStyle w:val="FootnoteReference"/>
          <w:rFonts w:ascii="Georgia" w:hAnsi="Georgia"/>
          <w:sz w:val="20"/>
          <w:szCs w:val="20"/>
          <w:lang w:val="en-US"/>
        </w:rPr>
        <w:footnoteReference w:id="13"/>
      </w:r>
      <w:r w:rsidRPr="00FB4A2C">
        <w:rPr>
          <w:rFonts w:ascii="Georgia" w:hAnsi="Georgia"/>
          <w:sz w:val="20"/>
          <w:szCs w:val="20"/>
          <w:lang w:val="en-US"/>
        </w:rPr>
        <w:t>, and EU growth prospects from the World Bank or the IMF don’t look more appealing</w:t>
      </w:r>
      <w:r w:rsidRPr="00FB4A2C">
        <w:rPr>
          <w:rStyle w:val="FootnoteReference"/>
          <w:rFonts w:ascii="Georgia" w:hAnsi="Georgia"/>
          <w:sz w:val="20"/>
          <w:szCs w:val="20"/>
          <w:lang w:val="en-US"/>
        </w:rPr>
        <w:footnoteReference w:id="14"/>
      </w:r>
      <w:r w:rsidRPr="00FB4A2C">
        <w:rPr>
          <w:rFonts w:ascii="Georgia" w:hAnsi="Georgia"/>
          <w:sz w:val="20"/>
          <w:szCs w:val="20"/>
          <w:lang w:val="en-US"/>
        </w:rPr>
        <w:t>.</w:t>
      </w:r>
    </w:p>
    <w:p w:rsidR="00B06464" w:rsidRPr="00FB4A2C" w:rsidRDefault="00B06464" w:rsidP="00FB4A2C">
      <w:pPr>
        <w:spacing w:after="120" w:line="240" w:lineRule="auto"/>
        <w:jc w:val="both"/>
        <w:rPr>
          <w:rFonts w:ascii="Georgia" w:hAnsi="Georgia"/>
          <w:sz w:val="20"/>
          <w:szCs w:val="20"/>
          <w:lang w:val="en-US"/>
        </w:rPr>
      </w:pPr>
      <w:proofErr w:type="gramStart"/>
      <w:r w:rsidRPr="00FB4A2C">
        <w:rPr>
          <w:rFonts w:ascii="Georgia" w:hAnsi="Georgia"/>
          <w:sz w:val="20"/>
          <w:szCs w:val="20"/>
          <w:lang w:val="en-US"/>
        </w:rPr>
        <w:t xml:space="preserve">So in answer to the question why now, perhaps we are witnessing a response to the overall </w:t>
      </w:r>
      <w:proofErr w:type="spellStart"/>
      <w:r w:rsidRPr="00FB4A2C">
        <w:rPr>
          <w:rFonts w:ascii="Georgia" w:hAnsi="Georgia"/>
          <w:sz w:val="20"/>
          <w:szCs w:val="20"/>
          <w:lang w:val="en-US"/>
        </w:rPr>
        <w:t>sluggishnesss</w:t>
      </w:r>
      <w:proofErr w:type="spellEnd"/>
      <w:r w:rsidRPr="00FB4A2C">
        <w:rPr>
          <w:rFonts w:ascii="Georgia" w:hAnsi="Georgia"/>
          <w:sz w:val="20"/>
          <w:szCs w:val="20"/>
          <w:lang w:val="en-US"/>
        </w:rPr>
        <w:t xml:space="preserve"> of European economies and a new way of beginning to measure and possibly manage them.</w:t>
      </w:r>
      <w:proofErr w:type="gramEnd"/>
      <w:r w:rsidR="00E56A2C" w:rsidRPr="00FB4A2C">
        <w:rPr>
          <w:rFonts w:ascii="Georgia" w:hAnsi="Georgia"/>
          <w:sz w:val="20"/>
          <w:szCs w:val="20"/>
          <w:lang w:val="en-US"/>
        </w:rPr>
        <w:t xml:space="preserve">  Or possibly that politicians are now in the unenviable position of having only a bag of growth indicators to sell to their increasingly skeptical and knowledgeable electorates who want and need to be presented with other indicators of well-being and progress.</w:t>
      </w:r>
    </w:p>
    <w:p w:rsidR="00E56A2C" w:rsidRPr="00FB4A2C" w:rsidRDefault="00B06464" w:rsidP="00FB4A2C">
      <w:pPr>
        <w:spacing w:after="120" w:line="240" w:lineRule="auto"/>
        <w:jc w:val="both"/>
        <w:rPr>
          <w:rFonts w:ascii="Georgia" w:hAnsi="Georgia"/>
          <w:sz w:val="20"/>
          <w:szCs w:val="20"/>
          <w:lang w:val="en-US"/>
        </w:rPr>
      </w:pPr>
      <w:r w:rsidRPr="00FB4A2C">
        <w:rPr>
          <w:rFonts w:ascii="Georgia" w:hAnsi="Georgia"/>
          <w:sz w:val="20"/>
          <w:szCs w:val="20"/>
          <w:lang w:val="en-US"/>
        </w:rPr>
        <w:t xml:space="preserve">On the second question, how much political commitment exists, there the </w:t>
      </w:r>
      <w:proofErr w:type="spellStart"/>
      <w:r w:rsidRPr="00FB4A2C">
        <w:rPr>
          <w:rFonts w:ascii="Georgia" w:hAnsi="Georgia"/>
          <w:sz w:val="20"/>
          <w:szCs w:val="20"/>
          <w:lang w:val="en-US"/>
        </w:rPr>
        <w:t>judgement</w:t>
      </w:r>
      <w:proofErr w:type="spellEnd"/>
      <w:r w:rsidRPr="00FB4A2C">
        <w:rPr>
          <w:rFonts w:ascii="Georgia" w:hAnsi="Georgia"/>
          <w:sz w:val="20"/>
          <w:szCs w:val="20"/>
          <w:lang w:val="en-US"/>
        </w:rPr>
        <w:t xml:space="preserve"> has to be more cautious. Jobs, growth, competitiveness is on everyone’s lips in Brussels these days. Susta</w:t>
      </w:r>
      <w:r w:rsidR="00E56A2C" w:rsidRPr="00FB4A2C">
        <w:rPr>
          <w:rFonts w:ascii="Georgia" w:hAnsi="Georgia"/>
          <w:sz w:val="20"/>
          <w:szCs w:val="20"/>
          <w:lang w:val="en-US"/>
        </w:rPr>
        <w:t xml:space="preserve">inable development or </w:t>
      </w:r>
      <w:r w:rsidRPr="00FB4A2C">
        <w:rPr>
          <w:rFonts w:ascii="Georgia" w:hAnsi="Georgia"/>
          <w:sz w:val="20"/>
          <w:szCs w:val="20"/>
          <w:lang w:val="en-US"/>
        </w:rPr>
        <w:t xml:space="preserve">green growth or even green economy is not.  </w:t>
      </w:r>
    </w:p>
    <w:p w:rsidR="00B06464" w:rsidRPr="00FB4A2C" w:rsidRDefault="00B06464" w:rsidP="00FB4A2C">
      <w:pPr>
        <w:spacing w:after="120" w:line="240" w:lineRule="auto"/>
        <w:jc w:val="both"/>
        <w:rPr>
          <w:rFonts w:ascii="Georgia" w:hAnsi="Georgia"/>
          <w:sz w:val="20"/>
          <w:szCs w:val="20"/>
          <w:lang w:val="en-US"/>
        </w:rPr>
      </w:pPr>
      <w:r w:rsidRPr="00FB4A2C">
        <w:rPr>
          <w:rFonts w:ascii="Georgia" w:hAnsi="Georgia"/>
          <w:sz w:val="20"/>
          <w:szCs w:val="20"/>
          <w:lang w:val="en-US"/>
        </w:rPr>
        <w:t>The green groups in Brussels raised the alarm last month when we complained th</w:t>
      </w:r>
      <w:r w:rsidR="00E56A2C" w:rsidRPr="00FB4A2C">
        <w:rPr>
          <w:rFonts w:ascii="Georgia" w:hAnsi="Georgia"/>
          <w:sz w:val="20"/>
          <w:szCs w:val="20"/>
          <w:lang w:val="en-US"/>
        </w:rPr>
        <w:t>a</w:t>
      </w:r>
      <w:r w:rsidRPr="00FB4A2C">
        <w:rPr>
          <w:rFonts w:ascii="Georgia" w:hAnsi="Georgia"/>
          <w:sz w:val="20"/>
          <w:szCs w:val="20"/>
          <w:lang w:val="en-US"/>
        </w:rPr>
        <w:t xml:space="preserve">t for the first time in two decades we were losing a dedicated Environment Commission position.  Just as </w:t>
      </w:r>
      <w:proofErr w:type="spellStart"/>
      <w:r w:rsidRPr="00FB4A2C">
        <w:rPr>
          <w:rFonts w:ascii="Georgia" w:hAnsi="Georgia"/>
          <w:sz w:val="20"/>
          <w:szCs w:val="20"/>
          <w:lang w:val="en-US"/>
        </w:rPr>
        <w:t>worringly</w:t>
      </w:r>
      <w:proofErr w:type="spellEnd"/>
      <w:r w:rsidRPr="00FB4A2C">
        <w:rPr>
          <w:rFonts w:ascii="Georgia" w:hAnsi="Georgia"/>
          <w:sz w:val="20"/>
          <w:szCs w:val="20"/>
          <w:lang w:val="en-US"/>
        </w:rPr>
        <w:t xml:space="preserve">, none of the new Commissioner mandates contained a reference to sustainability – it was everyone and no-one’s responsibility answered </w:t>
      </w:r>
      <w:proofErr w:type="spellStart"/>
      <w:r w:rsidRPr="00FB4A2C">
        <w:rPr>
          <w:rFonts w:ascii="Georgia" w:hAnsi="Georgia"/>
          <w:sz w:val="20"/>
          <w:szCs w:val="20"/>
          <w:lang w:val="en-US"/>
        </w:rPr>
        <w:t>Mr</w:t>
      </w:r>
      <w:proofErr w:type="spellEnd"/>
      <w:r w:rsidRPr="00FB4A2C">
        <w:rPr>
          <w:rFonts w:ascii="Georgia" w:hAnsi="Georgia"/>
          <w:sz w:val="20"/>
          <w:szCs w:val="20"/>
          <w:lang w:val="en-US"/>
        </w:rPr>
        <w:t xml:space="preserve"> </w:t>
      </w:r>
      <w:proofErr w:type="spellStart"/>
      <w:r w:rsidRPr="00FB4A2C">
        <w:rPr>
          <w:rFonts w:ascii="Georgia" w:hAnsi="Georgia"/>
          <w:sz w:val="20"/>
          <w:szCs w:val="20"/>
          <w:lang w:val="en-US"/>
        </w:rPr>
        <w:t>Juncker</w:t>
      </w:r>
      <w:proofErr w:type="spellEnd"/>
      <w:r w:rsidRPr="00FB4A2C">
        <w:rPr>
          <w:rFonts w:ascii="Georgia" w:hAnsi="Georgia"/>
          <w:sz w:val="20"/>
          <w:szCs w:val="20"/>
          <w:lang w:val="en-US"/>
        </w:rPr>
        <w:t>.  Let us put it this way, the agenda that I just presented to you was not anywhere near the top of the list of the new Commission proposals.</w:t>
      </w:r>
      <w:r w:rsidR="00E56A2C" w:rsidRPr="00FB4A2C">
        <w:rPr>
          <w:rFonts w:ascii="Georgia" w:hAnsi="Georgia"/>
          <w:sz w:val="20"/>
          <w:szCs w:val="20"/>
          <w:lang w:val="en-US"/>
        </w:rPr>
        <w:t xml:space="preserve">  More will leak out tomorrow and next week to know if that problem is being fixed in response to the Parliament’s pressure.</w:t>
      </w:r>
    </w:p>
    <w:p w:rsidR="001F1BAE" w:rsidRPr="00FB4A2C" w:rsidRDefault="001F1BAE" w:rsidP="00FB4A2C">
      <w:pPr>
        <w:spacing w:after="120" w:line="240" w:lineRule="auto"/>
        <w:jc w:val="both"/>
        <w:rPr>
          <w:rFonts w:ascii="Georgia" w:hAnsi="Georgia"/>
          <w:lang w:val="en-US"/>
        </w:rPr>
      </w:pPr>
      <w:r w:rsidRPr="00FB4A2C">
        <w:rPr>
          <w:rFonts w:ascii="Georgia" w:hAnsi="Georgia"/>
          <w:lang w:val="en-US"/>
        </w:rPr>
        <w:t xml:space="preserve">Then to the third question is it enough – is the policy response urgent enough? </w:t>
      </w:r>
      <w:r w:rsidR="00B06464" w:rsidRPr="00FB4A2C">
        <w:rPr>
          <w:rFonts w:ascii="Georgia" w:hAnsi="Georgia"/>
          <w:lang w:val="en-US"/>
        </w:rPr>
        <w:t xml:space="preserve"> </w:t>
      </w:r>
      <w:r w:rsidRPr="00FB4A2C">
        <w:rPr>
          <w:rFonts w:ascii="Georgia" w:hAnsi="Georgia"/>
          <w:lang w:val="en-US"/>
        </w:rPr>
        <w:t>Well, I think I will answer that it in a different way.  There are two huge tests of commitment coming at a global level in the next 12-14 months.  The</w:t>
      </w:r>
      <w:r w:rsidR="00E56A2C" w:rsidRPr="00FB4A2C">
        <w:rPr>
          <w:rFonts w:ascii="Georgia" w:hAnsi="Georgia"/>
          <w:lang w:val="en-US"/>
        </w:rPr>
        <w:t xml:space="preserve"> first will be </w:t>
      </w:r>
      <w:proofErr w:type="gramStart"/>
      <w:r w:rsidR="00E56A2C" w:rsidRPr="00FB4A2C">
        <w:rPr>
          <w:rFonts w:ascii="Georgia" w:hAnsi="Georgia"/>
          <w:lang w:val="en-US"/>
        </w:rPr>
        <w:t xml:space="preserve">the </w:t>
      </w:r>
      <w:r w:rsidRPr="00FB4A2C">
        <w:rPr>
          <w:rFonts w:ascii="Georgia" w:hAnsi="Georgia"/>
          <w:lang w:val="en-US"/>
        </w:rPr>
        <w:t xml:space="preserve"> sustainable</w:t>
      </w:r>
      <w:proofErr w:type="gramEnd"/>
      <w:r w:rsidRPr="00FB4A2C">
        <w:rPr>
          <w:rFonts w:ascii="Georgia" w:hAnsi="Georgia"/>
          <w:lang w:val="en-US"/>
        </w:rPr>
        <w:t xml:space="preserve"> development goals incorporating and replacing </w:t>
      </w:r>
      <w:r w:rsidR="00E56A2C" w:rsidRPr="00FB4A2C">
        <w:rPr>
          <w:rFonts w:ascii="Georgia" w:hAnsi="Georgia"/>
          <w:lang w:val="en-US"/>
        </w:rPr>
        <w:t xml:space="preserve">the </w:t>
      </w:r>
      <w:proofErr w:type="spellStart"/>
      <w:r w:rsidR="00E56A2C" w:rsidRPr="00FB4A2C">
        <w:rPr>
          <w:rFonts w:ascii="Georgia" w:hAnsi="Georgia"/>
          <w:lang w:val="en-US"/>
        </w:rPr>
        <w:t>Millenium</w:t>
      </w:r>
      <w:proofErr w:type="spellEnd"/>
      <w:r w:rsidR="00E56A2C" w:rsidRPr="00FB4A2C">
        <w:rPr>
          <w:rFonts w:ascii="Georgia" w:hAnsi="Georgia"/>
          <w:lang w:val="en-US"/>
        </w:rPr>
        <w:t xml:space="preserve"> Development Goals.  These </w:t>
      </w:r>
      <w:r w:rsidRPr="00FB4A2C">
        <w:rPr>
          <w:rFonts w:ascii="Georgia" w:hAnsi="Georgia"/>
          <w:lang w:val="en-US"/>
        </w:rPr>
        <w:t>will be decided next autumn in the United Nations. How far these goals usher in a genuine new global commitment to living and sharing equitably and universally on one planet will be a real test of commitment.  So too will be the climate commitments entered into in the COP 21 in Paris just 2 months later.</w:t>
      </w:r>
    </w:p>
    <w:p w:rsidR="001F1BAE" w:rsidRPr="00FB4A2C" w:rsidRDefault="001F1BAE" w:rsidP="00FB4A2C">
      <w:pPr>
        <w:spacing w:after="120" w:line="240" w:lineRule="auto"/>
        <w:jc w:val="both"/>
        <w:rPr>
          <w:rFonts w:ascii="Georgia" w:hAnsi="Georgia"/>
          <w:lang w:val="en-US"/>
        </w:rPr>
      </w:pPr>
      <w:r w:rsidRPr="00FB4A2C">
        <w:rPr>
          <w:rFonts w:ascii="Georgia" w:hAnsi="Georgia"/>
          <w:lang w:val="en-US"/>
        </w:rPr>
        <w:t xml:space="preserve">And before both of these, European Heads of State and Government will meet at the end of next week to decide their own journey to 2030 on their own climate and energy ambitions and </w:t>
      </w:r>
      <w:r w:rsidRPr="00FB4A2C">
        <w:rPr>
          <w:rFonts w:ascii="Georgia" w:hAnsi="Georgia"/>
          <w:lang w:val="en-US"/>
        </w:rPr>
        <w:lastRenderedPageBreak/>
        <w:t xml:space="preserve">targets. </w:t>
      </w:r>
      <w:r w:rsidR="00CA413D" w:rsidRPr="00FB4A2C">
        <w:rPr>
          <w:rFonts w:ascii="Georgia" w:hAnsi="Georgia"/>
          <w:lang w:val="en-US"/>
        </w:rPr>
        <w:t xml:space="preserve"> Will they adopt 40% CO2 cuts ove</w:t>
      </w:r>
      <w:r w:rsidR="00515748">
        <w:rPr>
          <w:rFonts w:ascii="Georgia" w:hAnsi="Georgia"/>
          <w:lang w:val="en-US"/>
        </w:rPr>
        <w:t>r</w:t>
      </w:r>
      <w:r w:rsidR="00CA413D" w:rsidRPr="00FB4A2C">
        <w:rPr>
          <w:rFonts w:ascii="Georgia" w:hAnsi="Georgia"/>
          <w:lang w:val="en-US"/>
        </w:rPr>
        <w:t xml:space="preserve"> 1990 levels, 30% share of renewables and 30% energy efficiency gains by 2030?  And will they be binding targets?</w:t>
      </w:r>
    </w:p>
    <w:p w:rsidR="00CA413D" w:rsidRPr="00FB4A2C" w:rsidRDefault="001F1BAE" w:rsidP="00FB4A2C">
      <w:pPr>
        <w:spacing w:after="120" w:line="240" w:lineRule="auto"/>
        <w:jc w:val="both"/>
        <w:rPr>
          <w:rFonts w:ascii="Georgia" w:hAnsi="Georgia"/>
          <w:lang w:val="en-US"/>
        </w:rPr>
      </w:pPr>
      <w:r w:rsidRPr="00FB4A2C">
        <w:rPr>
          <w:rFonts w:ascii="Georgia" w:hAnsi="Georgia"/>
          <w:lang w:val="en-US"/>
        </w:rPr>
        <w:t xml:space="preserve">Is the policy response urgent enough? </w:t>
      </w:r>
    </w:p>
    <w:p w:rsidR="004E093F" w:rsidRPr="00FB4A2C" w:rsidRDefault="001F1BAE" w:rsidP="00FB4A2C">
      <w:pPr>
        <w:spacing w:after="120" w:line="240" w:lineRule="auto"/>
        <w:jc w:val="both"/>
        <w:rPr>
          <w:rFonts w:ascii="Georgia" w:hAnsi="Georgia"/>
          <w:lang w:val="en-US"/>
        </w:rPr>
      </w:pPr>
      <w:r w:rsidRPr="00FB4A2C">
        <w:rPr>
          <w:rFonts w:ascii="Georgia" w:hAnsi="Georgia"/>
          <w:lang w:val="en-US"/>
        </w:rPr>
        <w:t>We are soon set to find out.</w:t>
      </w:r>
    </w:p>
    <w:p w:rsidR="00CA413D" w:rsidRPr="00FB4A2C" w:rsidRDefault="00CA413D" w:rsidP="00FB4A2C">
      <w:pPr>
        <w:spacing w:after="120" w:line="240" w:lineRule="auto"/>
        <w:rPr>
          <w:rFonts w:ascii="Georgia" w:hAnsi="Georgia"/>
          <w:lang w:val="en-US"/>
        </w:rPr>
      </w:pPr>
      <w:r w:rsidRPr="00FB4A2C">
        <w:rPr>
          <w:rFonts w:ascii="Georgia" w:hAnsi="Georgia"/>
          <w:lang w:val="en-US"/>
        </w:rPr>
        <w:t>Thank you</w:t>
      </w:r>
    </w:p>
    <w:sectPr w:rsidR="00CA413D" w:rsidRPr="00FB4A2C" w:rsidSect="00515748">
      <w:pgSz w:w="11906" w:h="16838"/>
      <w:pgMar w:top="1276" w:right="1416"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E5" w:rsidRDefault="00F45FE5" w:rsidP="009D7ED2">
      <w:pPr>
        <w:spacing w:after="0" w:line="240" w:lineRule="auto"/>
      </w:pPr>
      <w:r>
        <w:separator/>
      </w:r>
    </w:p>
  </w:endnote>
  <w:endnote w:type="continuationSeparator" w:id="0">
    <w:p w:rsidR="00F45FE5" w:rsidRDefault="00F45FE5" w:rsidP="009D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GaramondPremrPro">
    <w:panose1 w:val="00000000000000000000"/>
    <w:charset w:val="00"/>
    <w:family w:val="auto"/>
    <w:notTrueType/>
    <w:pitch w:val="default"/>
    <w:sig w:usb0="00000003" w:usb1="00000000" w:usb2="00000000" w:usb3="00000000" w:csb0="00000001" w:csb1="00000000"/>
  </w:font>
  <w:font w:name="TTE170A22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E5" w:rsidRDefault="00F45FE5" w:rsidP="009D7ED2">
      <w:pPr>
        <w:spacing w:after="0" w:line="240" w:lineRule="auto"/>
      </w:pPr>
      <w:r>
        <w:separator/>
      </w:r>
    </w:p>
  </w:footnote>
  <w:footnote w:type="continuationSeparator" w:id="0">
    <w:p w:rsidR="00F45FE5" w:rsidRDefault="00F45FE5" w:rsidP="009D7ED2">
      <w:pPr>
        <w:spacing w:after="0" w:line="240" w:lineRule="auto"/>
      </w:pPr>
      <w:r>
        <w:continuationSeparator/>
      </w:r>
    </w:p>
  </w:footnote>
  <w:footnote w:id="1">
    <w:p w:rsidR="00630642" w:rsidRDefault="00630642" w:rsidP="00630642">
      <w:pPr>
        <w:pStyle w:val="FootnoteText"/>
        <w:rPr>
          <w:sz w:val="16"/>
          <w:szCs w:val="16"/>
          <w:lang w:val="en-US"/>
        </w:rPr>
      </w:pPr>
      <w:r>
        <w:rPr>
          <w:rStyle w:val="FootnoteReference"/>
          <w:sz w:val="16"/>
          <w:szCs w:val="16"/>
        </w:rPr>
        <w:footnoteRef/>
      </w:r>
      <w:r>
        <w:rPr>
          <w:sz w:val="16"/>
          <w:szCs w:val="16"/>
          <w:lang w:val="en-US"/>
        </w:rPr>
        <w:t xml:space="preserve"> European Commission (2010), </w:t>
      </w:r>
      <w:r>
        <w:rPr>
          <w:i/>
          <w:sz w:val="16"/>
          <w:szCs w:val="16"/>
          <w:lang w:val="en-US"/>
        </w:rPr>
        <w:t>Europe 2020 - A strategy for smart, sustainable and inclusive growth</w:t>
      </w:r>
      <w:r>
        <w:rPr>
          <w:sz w:val="16"/>
          <w:szCs w:val="16"/>
          <w:lang w:val="en-US"/>
        </w:rPr>
        <w:t>, COM(2010) 2020</w:t>
      </w:r>
    </w:p>
  </w:footnote>
  <w:footnote w:id="2">
    <w:p w:rsidR="009D7ED2" w:rsidRDefault="009D7ED2" w:rsidP="009D7ED2">
      <w:pPr>
        <w:pStyle w:val="FootnoteText"/>
        <w:rPr>
          <w:sz w:val="16"/>
          <w:szCs w:val="16"/>
          <w:lang w:val="en-US"/>
        </w:rPr>
      </w:pPr>
      <w:r>
        <w:rPr>
          <w:rStyle w:val="FootnoteReference"/>
          <w:sz w:val="16"/>
          <w:szCs w:val="16"/>
        </w:rPr>
        <w:footnoteRef/>
      </w:r>
      <w:r>
        <w:rPr>
          <w:sz w:val="16"/>
          <w:szCs w:val="16"/>
          <w:lang w:val="en-US"/>
        </w:rPr>
        <w:t xml:space="preserve"> European Commission (2010), </w:t>
      </w:r>
      <w:r>
        <w:rPr>
          <w:i/>
          <w:sz w:val="16"/>
          <w:szCs w:val="16"/>
          <w:lang w:val="en-US"/>
        </w:rPr>
        <w:t>Europe 2020 - A strategy for smart, sustainable and inclusive growth</w:t>
      </w:r>
      <w:r>
        <w:rPr>
          <w:sz w:val="16"/>
          <w:szCs w:val="16"/>
          <w:lang w:val="en-US"/>
        </w:rPr>
        <w:t>, COM(2010) 2020</w:t>
      </w:r>
    </w:p>
  </w:footnote>
  <w:footnote w:id="3">
    <w:p w:rsidR="009D7ED2" w:rsidRDefault="009D7ED2" w:rsidP="009D7ED2">
      <w:pPr>
        <w:pStyle w:val="FootnoteText"/>
        <w:rPr>
          <w:sz w:val="16"/>
          <w:szCs w:val="16"/>
          <w:lang w:val="en-US"/>
        </w:rPr>
      </w:pPr>
      <w:r>
        <w:rPr>
          <w:rStyle w:val="FootnoteReference"/>
          <w:sz w:val="16"/>
          <w:szCs w:val="16"/>
        </w:rPr>
        <w:footnoteRef/>
      </w:r>
      <w:r>
        <w:rPr>
          <w:sz w:val="16"/>
          <w:szCs w:val="16"/>
          <w:lang w:val="en-US"/>
        </w:rPr>
        <w:t xml:space="preserve"> </w:t>
      </w:r>
      <w:r>
        <w:rPr>
          <w:rFonts w:cs="Calibri"/>
          <w:sz w:val="16"/>
          <w:szCs w:val="16"/>
          <w:lang w:val="en-US"/>
        </w:rPr>
        <w:t xml:space="preserve">European Commission (2013), </w:t>
      </w:r>
      <w:r>
        <w:rPr>
          <w:i/>
          <w:sz w:val="16"/>
          <w:szCs w:val="16"/>
          <w:lang w:val="en-US"/>
        </w:rPr>
        <w:t>Roadmap to a Resource Efficient Europe</w:t>
      </w:r>
      <w:r>
        <w:rPr>
          <w:sz w:val="16"/>
          <w:szCs w:val="16"/>
          <w:lang w:val="en-US"/>
        </w:rPr>
        <w:t xml:space="preserve">, </w:t>
      </w:r>
      <w:r>
        <w:rPr>
          <w:rFonts w:cs="Times New Roman"/>
          <w:sz w:val="16"/>
          <w:szCs w:val="16"/>
          <w:lang w:val="en-US"/>
        </w:rPr>
        <w:t>COM(2011) 571 final</w:t>
      </w:r>
    </w:p>
  </w:footnote>
  <w:footnote w:id="4">
    <w:p w:rsidR="009D7ED2" w:rsidRDefault="009D7ED2" w:rsidP="009D7ED2">
      <w:pPr>
        <w:pStyle w:val="FootnoteText"/>
        <w:rPr>
          <w:sz w:val="16"/>
          <w:szCs w:val="16"/>
          <w:lang w:val="en-US"/>
        </w:rPr>
      </w:pPr>
      <w:r>
        <w:rPr>
          <w:rStyle w:val="FootnoteReference"/>
          <w:sz w:val="16"/>
          <w:szCs w:val="16"/>
        </w:rPr>
        <w:footnoteRef/>
      </w:r>
      <w:r>
        <w:rPr>
          <w:sz w:val="16"/>
          <w:szCs w:val="16"/>
          <w:lang w:val="en-US"/>
        </w:rPr>
        <w:t xml:space="preserve"> Decision No 1386/2013/EU of 20 November 2013 on a General Union Environment Action Programme to 2020 ‘</w:t>
      </w:r>
      <w:r>
        <w:rPr>
          <w:i/>
          <w:sz w:val="16"/>
          <w:szCs w:val="16"/>
          <w:lang w:val="en-US"/>
        </w:rPr>
        <w:t>Living well, within the limits of our planet’</w:t>
      </w:r>
    </w:p>
  </w:footnote>
  <w:footnote w:id="5">
    <w:p w:rsidR="009D7ED2" w:rsidRDefault="009D7ED2" w:rsidP="009D7ED2">
      <w:pPr>
        <w:autoSpaceDE w:val="0"/>
        <w:autoSpaceDN w:val="0"/>
        <w:adjustRightInd w:val="0"/>
        <w:spacing w:after="0" w:line="240" w:lineRule="auto"/>
        <w:rPr>
          <w:sz w:val="16"/>
          <w:szCs w:val="16"/>
          <w:lang w:val="en-US"/>
        </w:rPr>
      </w:pPr>
      <w:r>
        <w:rPr>
          <w:rStyle w:val="FootnoteReference"/>
          <w:sz w:val="16"/>
          <w:szCs w:val="16"/>
        </w:rPr>
        <w:footnoteRef/>
      </w:r>
      <w:r>
        <w:rPr>
          <w:sz w:val="16"/>
          <w:szCs w:val="16"/>
          <w:lang w:val="en-US"/>
        </w:rPr>
        <w:t xml:space="preserve"> The </w:t>
      </w:r>
      <w:r>
        <w:rPr>
          <w:rFonts w:cs="TTE170A228t00"/>
          <w:sz w:val="16"/>
          <w:szCs w:val="16"/>
          <w:lang w:val="en-US"/>
        </w:rPr>
        <w:t xml:space="preserve">European Parliament also issued the resolution of 24 May 2012 </w:t>
      </w:r>
      <w:r>
        <w:rPr>
          <w:rFonts w:cs="TTE170A228t00"/>
          <w:i/>
          <w:sz w:val="16"/>
          <w:szCs w:val="16"/>
          <w:lang w:val="en-US"/>
        </w:rPr>
        <w:t>A resource-efficient Europe</w:t>
      </w:r>
      <w:r>
        <w:rPr>
          <w:rFonts w:cs="TTE170A228t00"/>
          <w:sz w:val="16"/>
          <w:szCs w:val="16"/>
          <w:lang w:val="en-US"/>
        </w:rPr>
        <w:t xml:space="preserve"> (2011/2068(INI) asking for targets and indicators</w:t>
      </w:r>
    </w:p>
  </w:footnote>
  <w:footnote w:id="6">
    <w:p w:rsidR="009D7ED2" w:rsidRDefault="009D7ED2" w:rsidP="009D7ED2">
      <w:pPr>
        <w:pStyle w:val="FootnoteText"/>
        <w:rPr>
          <w:sz w:val="16"/>
          <w:szCs w:val="16"/>
          <w:lang w:val="en-US"/>
        </w:rPr>
      </w:pPr>
      <w:r>
        <w:rPr>
          <w:rStyle w:val="FootnoteReference"/>
          <w:sz w:val="16"/>
          <w:szCs w:val="16"/>
        </w:rPr>
        <w:footnoteRef/>
      </w:r>
      <w:r>
        <w:rPr>
          <w:sz w:val="16"/>
          <w:szCs w:val="16"/>
          <w:lang w:val="en-US"/>
        </w:rPr>
        <w:t xml:space="preserve"> European Commission (2014), </w:t>
      </w:r>
      <w:r>
        <w:rPr>
          <w:i/>
          <w:sz w:val="16"/>
          <w:szCs w:val="16"/>
          <w:lang w:val="en-US"/>
        </w:rPr>
        <w:t>Towards a circular economy: A zero waste programme for Europe</w:t>
      </w:r>
      <w:r>
        <w:rPr>
          <w:sz w:val="16"/>
          <w:szCs w:val="16"/>
          <w:lang w:val="en-US"/>
        </w:rPr>
        <w:t xml:space="preserve">, COM(2014) 398final </w:t>
      </w:r>
    </w:p>
  </w:footnote>
  <w:footnote w:id="7">
    <w:p w:rsidR="005224E6" w:rsidRDefault="005224E6" w:rsidP="005224E6">
      <w:pPr>
        <w:pStyle w:val="FootnoteText"/>
        <w:rPr>
          <w:sz w:val="16"/>
          <w:szCs w:val="16"/>
          <w:lang w:val="en-US"/>
        </w:rPr>
      </w:pPr>
      <w:r>
        <w:rPr>
          <w:rStyle w:val="FootnoteReference"/>
          <w:sz w:val="16"/>
          <w:szCs w:val="16"/>
        </w:rPr>
        <w:footnoteRef/>
      </w:r>
      <w:r>
        <w:rPr>
          <w:sz w:val="16"/>
          <w:szCs w:val="16"/>
          <w:lang w:val="en-US"/>
        </w:rPr>
        <w:t xml:space="preserve"> European Commission (2011), </w:t>
      </w:r>
      <w:r>
        <w:rPr>
          <w:i/>
          <w:sz w:val="16"/>
          <w:szCs w:val="16"/>
          <w:lang w:val="en-US"/>
        </w:rPr>
        <w:t>Our life insurance, our natural capital: an EU biodiversity strategy to 2020</w:t>
      </w:r>
      <w:r>
        <w:rPr>
          <w:sz w:val="16"/>
          <w:szCs w:val="16"/>
          <w:lang w:val="en-US"/>
        </w:rPr>
        <w:t>, COM(2011) 244 final</w:t>
      </w:r>
    </w:p>
  </w:footnote>
  <w:footnote w:id="8">
    <w:p w:rsidR="005224E6" w:rsidRDefault="005224E6" w:rsidP="005224E6">
      <w:pPr>
        <w:pStyle w:val="FootnoteText"/>
        <w:rPr>
          <w:sz w:val="16"/>
          <w:szCs w:val="16"/>
          <w:lang w:val="en-US"/>
        </w:rPr>
      </w:pPr>
      <w:r>
        <w:rPr>
          <w:rStyle w:val="FootnoteReference"/>
          <w:sz w:val="16"/>
          <w:szCs w:val="16"/>
        </w:rPr>
        <w:footnoteRef/>
      </w:r>
      <w:r>
        <w:rPr>
          <w:sz w:val="16"/>
          <w:szCs w:val="16"/>
          <w:lang w:val="en-US"/>
        </w:rPr>
        <w:t xml:space="preserve"> Environment Council of 21 June 2011, Luxembourg</w:t>
      </w:r>
    </w:p>
  </w:footnote>
  <w:footnote w:id="9">
    <w:p w:rsidR="005224E6" w:rsidRDefault="005224E6" w:rsidP="005224E6">
      <w:pPr>
        <w:pStyle w:val="FootnoteText"/>
        <w:rPr>
          <w:sz w:val="16"/>
          <w:szCs w:val="16"/>
          <w:lang w:val="en-US"/>
        </w:rPr>
      </w:pPr>
      <w:r>
        <w:rPr>
          <w:rStyle w:val="FootnoteReference"/>
          <w:sz w:val="16"/>
          <w:szCs w:val="16"/>
        </w:rPr>
        <w:footnoteRef/>
      </w:r>
      <w:r>
        <w:rPr>
          <w:sz w:val="16"/>
          <w:szCs w:val="16"/>
          <w:lang w:val="en-US"/>
        </w:rPr>
        <w:t xml:space="preserve"> European Commission (2011), </w:t>
      </w:r>
      <w:r>
        <w:rPr>
          <w:i/>
          <w:sz w:val="16"/>
          <w:szCs w:val="16"/>
          <w:lang w:val="en-US"/>
        </w:rPr>
        <w:t>Our life insurance, our natural capital: an EU biodiversity strategy to 2020</w:t>
      </w:r>
      <w:r>
        <w:rPr>
          <w:sz w:val="16"/>
          <w:szCs w:val="16"/>
          <w:lang w:val="en-US"/>
        </w:rPr>
        <w:t>, COM(2011) 244 final: Target 2 Action 5</w:t>
      </w:r>
    </w:p>
  </w:footnote>
  <w:footnote w:id="10">
    <w:p w:rsidR="005224E6" w:rsidRDefault="005224E6" w:rsidP="005224E6">
      <w:pPr>
        <w:pStyle w:val="FootnoteText"/>
        <w:rPr>
          <w:lang w:val="en-US"/>
        </w:rPr>
      </w:pPr>
      <w:r>
        <w:rPr>
          <w:rStyle w:val="FootnoteReference"/>
          <w:sz w:val="16"/>
          <w:szCs w:val="16"/>
        </w:rPr>
        <w:footnoteRef/>
      </w:r>
      <w:r>
        <w:rPr>
          <w:sz w:val="16"/>
          <w:szCs w:val="16"/>
          <w:lang w:val="en-US"/>
        </w:rPr>
        <w:t xml:space="preserve"> Regulation No 691/2011 of 6 July 2011 on European environmental economic accounts</w:t>
      </w:r>
    </w:p>
  </w:footnote>
  <w:footnote w:id="11">
    <w:p w:rsidR="009D7ED2" w:rsidRDefault="009D7ED2" w:rsidP="009D7ED2">
      <w:pPr>
        <w:pStyle w:val="FootnoteText"/>
        <w:rPr>
          <w:sz w:val="16"/>
          <w:szCs w:val="16"/>
          <w:lang w:val="en-US"/>
        </w:rPr>
      </w:pPr>
      <w:r>
        <w:rPr>
          <w:rStyle w:val="FootnoteReference"/>
          <w:sz w:val="16"/>
          <w:szCs w:val="16"/>
        </w:rPr>
        <w:footnoteRef/>
      </w:r>
      <w:r>
        <w:rPr>
          <w:sz w:val="16"/>
          <w:szCs w:val="16"/>
          <w:lang w:val="en-US"/>
        </w:rPr>
        <w:t xml:space="preserve"> European Commission (2014), Taking stock of the Europe 2020 strategy for smart, sustainable and inclusive growth, </w:t>
      </w:r>
      <w:r>
        <w:rPr>
          <w:rFonts w:cs="Times New Roman"/>
          <w:sz w:val="16"/>
          <w:szCs w:val="16"/>
          <w:lang w:val="en-US"/>
        </w:rPr>
        <w:t>COM(2014) 130 final</w:t>
      </w:r>
    </w:p>
  </w:footnote>
  <w:footnote w:id="12">
    <w:p w:rsidR="00D23ACD" w:rsidRDefault="00D23ACD" w:rsidP="00D23ACD">
      <w:pPr>
        <w:spacing w:after="0" w:line="240" w:lineRule="auto"/>
        <w:rPr>
          <w:lang w:val="en-US"/>
        </w:rPr>
      </w:pPr>
      <w:r>
        <w:rPr>
          <w:rStyle w:val="FootnoteReference"/>
          <w:sz w:val="16"/>
          <w:szCs w:val="16"/>
        </w:rPr>
        <w:footnoteRef/>
      </w:r>
      <w:r>
        <w:rPr>
          <w:sz w:val="16"/>
          <w:szCs w:val="16"/>
          <w:lang w:val="en-US"/>
        </w:rPr>
        <w:t xml:space="preserve"> Europe INNOVA (2012), </w:t>
      </w:r>
      <w:r>
        <w:rPr>
          <w:i/>
          <w:sz w:val="16"/>
          <w:szCs w:val="16"/>
          <w:lang w:val="en-US"/>
        </w:rPr>
        <w:t>Guide to resource efficiency in manufacturing: Experiences from improving resource efficiency in manufacturing companies</w:t>
      </w:r>
    </w:p>
  </w:footnote>
  <w:footnote w:id="13">
    <w:p w:rsidR="00630642" w:rsidRDefault="00630642" w:rsidP="00630642">
      <w:pPr>
        <w:pStyle w:val="FootnoteText"/>
        <w:rPr>
          <w:sz w:val="16"/>
          <w:szCs w:val="16"/>
        </w:rPr>
      </w:pPr>
      <w:r>
        <w:rPr>
          <w:rStyle w:val="FootnoteReference"/>
        </w:rPr>
        <w:footnoteRef/>
      </w:r>
      <w:r>
        <w:rPr>
          <w:sz w:val="16"/>
          <w:szCs w:val="16"/>
        </w:rPr>
        <w:t xml:space="preserve"> Le Monde, 9 August 2014, </w:t>
      </w:r>
      <w:r>
        <w:rPr>
          <w:i/>
          <w:sz w:val="16"/>
          <w:szCs w:val="16"/>
        </w:rPr>
        <w:t>Pour la BCE les conditions sont réunies pour une baisse durable de l’euro</w:t>
      </w:r>
    </w:p>
  </w:footnote>
  <w:footnote w:id="14">
    <w:p w:rsidR="00630642" w:rsidRDefault="00630642" w:rsidP="00630642">
      <w:pPr>
        <w:pStyle w:val="FootnoteText"/>
        <w:rPr>
          <w:sz w:val="16"/>
          <w:szCs w:val="16"/>
          <w:lang w:val="en-US"/>
        </w:rPr>
      </w:pPr>
      <w:r>
        <w:rPr>
          <w:rStyle w:val="FootnoteReference"/>
        </w:rPr>
        <w:footnoteRef/>
      </w:r>
      <w:r>
        <w:rPr>
          <w:sz w:val="16"/>
          <w:szCs w:val="16"/>
          <w:lang w:val="en-US"/>
        </w:rPr>
        <w:t xml:space="preserve"> See the World Bank’s growth estimates and forecasts, </w:t>
      </w:r>
      <w:hyperlink r:id="rId1" w:history="1">
        <w:r>
          <w:rPr>
            <w:rStyle w:val="Hyperlink"/>
            <w:sz w:val="16"/>
            <w:szCs w:val="16"/>
            <w:lang w:val="en-US"/>
          </w:rPr>
          <w:t>http://www.worldbank.org/en/publication/global-economic-prospects/data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FCD"/>
    <w:multiLevelType w:val="hybridMultilevel"/>
    <w:tmpl w:val="7D4AF8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232A454D"/>
    <w:multiLevelType w:val="hybridMultilevel"/>
    <w:tmpl w:val="9E084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0421D0B"/>
    <w:multiLevelType w:val="hybridMultilevel"/>
    <w:tmpl w:val="A97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C3F7F"/>
    <w:multiLevelType w:val="hybridMultilevel"/>
    <w:tmpl w:val="6A7A42AC"/>
    <w:lvl w:ilvl="0" w:tplc="D930C928">
      <w:start w:val="1"/>
      <w:numFmt w:val="bullet"/>
      <w:lvlText w:val="-"/>
      <w:lvlJc w:val="left"/>
      <w:pPr>
        <w:ind w:left="720" w:hanging="360"/>
      </w:pPr>
      <w:rPr>
        <w:rFonts w:ascii="Calibri" w:eastAsiaTheme="minorHAnsi" w:hAnsi="Calibri" w:cstheme="minorBidi"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40943077"/>
    <w:multiLevelType w:val="hybridMultilevel"/>
    <w:tmpl w:val="3304A54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
    <w:nsid w:val="48605330"/>
    <w:multiLevelType w:val="hybridMultilevel"/>
    <w:tmpl w:val="55E0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55CA5"/>
    <w:multiLevelType w:val="hybridMultilevel"/>
    <w:tmpl w:val="FF1EDE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8D76A14"/>
    <w:multiLevelType w:val="hybridMultilevel"/>
    <w:tmpl w:val="55C498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9B40EAB"/>
    <w:multiLevelType w:val="hybridMultilevel"/>
    <w:tmpl w:val="2F18F3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EE1802"/>
    <w:multiLevelType w:val="hybridMultilevel"/>
    <w:tmpl w:val="0374FB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7F745F0B"/>
    <w:multiLevelType w:val="hybridMultilevel"/>
    <w:tmpl w:val="BF8C0E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2B"/>
    <w:rsid w:val="00130C2B"/>
    <w:rsid w:val="001F1BAE"/>
    <w:rsid w:val="0020015E"/>
    <w:rsid w:val="00275DD6"/>
    <w:rsid w:val="00293FC1"/>
    <w:rsid w:val="003316D6"/>
    <w:rsid w:val="00421B5B"/>
    <w:rsid w:val="004E093F"/>
    <w:rsid w:val="005036E6"/>
    <w:rsid w:val="00515748"/>
    <w:rsid w:val="005224E6"/>
    <w:rsid w:val="005E3CAE"/>
    <w:rsid w:val="005F2AB9"/>
    <w:rsid w:val="00630642"/>
    <w:rsid w:val="00664ABD"/>
    <w:rsid w:val="006A7F93"/>
    <w:rsid w:val="007554FF"/>
    <w:rsid w:val="00782E2B"/>
    <w:rsid w:val="008056AC"/>
    <w:rsid w:val="009D7ED2"/>
    <w:rsid w:val="00A313DE"/>
    <w:rsid w:val="00B06464"/>
    <w:rsid w:val="00CA413D"/>
    <w:rsid w:val="00D23ACD"/>
    <w:rsid w:val="00E56A2C"/>
    <w:rsid w:val="00F45FE5"/>
    <w:rsid w:val="00F57532"/>
    <w:rsid w:val="00F85422"/>
    <w:rsid w:val="00FB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ED2"/>
    <w:pPr>
      <w:keepNext/>
      <w:keepLines/>
      <w:spacing w:before="200" w:after="0"/>
      <w:outlineLvl w:val="1"/>
    </w:pPr>
    <w:rPr>
      <w:rFonts w:asciiTheme="majorHAnsi" w:eastAsiaTheme="majorEastAsia" w:hAnsiTheme="majorHAnsi" w:cstheme="majorBidi"/>
      <w:b/>
      <w:bCs/>
      <w:color w:val="4F81BD" w:themeColor="accent1"/>
      <w:sz w:val="26"/>
      <w:szCs w:val="26"/>
      <w:lang w:val="fr-BE"/>
    </w:rPr>
  </w:style>
  <w:style w:type="paragraph" w:styleId="Heading3">
    <w:name w:val="heading 3"/>
    <w:basedOn w:val="Normal"/>
    <w:link w:val="Heading3Char"/>
    <w:uiPriority w:val="9"/>
    <w:qFormat/>
    <w:rsid w:val="003316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2B"/>
    <w:pPr>
      <w:spacing w:after="0" w:line="240" w:lineRule="auto"/>
      <w:ind w:left="720"/>
    </w:pPr>
    <w:rPr>
      <w:rFonts w:ascii="Calibri" w:hAnsi="Calibri" w:cs="Times New Roman"/>
    </w:rPr>
  </w:style>
  <w:style w:type="paragraph" w:styleId="NormalWeb">
    <w:name w:val="Normal (Web)"/>
    <w:basedOn w:val="Normal"/>
    <w:uiPriority w:val="99"/>
    <w:semiHidden/>
    <w:unhideWhenUsed/>
    <w:rsid w:val="00331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316D6"/>
  </w:style>
  <w:style w:type="character" w:styleId="Hyperlink">
    <w:name w:val="Hyperlink"/>
    <w:basedOn w:val="DefaultParagraphFont"/>
    <w:uiPriority w:val="99"/>
    <w:semiHidden/>
    <w:unhideWhenUsed/>
    <w:rsid w:val="003316D6"/>
    <w:rPr>
      <w:color w:val="0000FF"/>
      <w:u w:val="single"/>
    </w:rPr>
  </w:style>
  <w:style w:type="character" w:customStyle="1" w:styleId="Heading3Char">
    <w:name w:val="Heading 3 Char"/>
    <w:basedOn w:val="DefaultParagraphFont"/>
    <w:link w:val="Heading3"/>
    <w:uiPriority w:val="9"/>
    <w:rsid w:val="003316D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316D6"/>
    <w:rPr>
      <w:b/>
      <w:bCs/>
    </w:rPr>
  </w:style>
  <w:style w:type="character" w:customStyle="1" w:styleId="Heading2Char">
    <w:name w:val="Heading 2 Char"/>
    <w:basedOn w:val="DefaultParagraphFont"/>
    <w:link w:val="Heading2"/>
    <w:uiPriority w:val="9"/>
    <w:semiHidden/>
    <w:rsid w:val="009D7ED2"/>
    <w:rPr>
      <w:rFonts w:asciiTheme="majorHAnsi" w:eastAsiaTheme="majorEastAsia" w:hAnsiTheme="majorHAnsi" w:cstheme="majorBidi"/>
      <w:b/>
      <w:bCs/>
      <w:color w:val="4F81BD" w:themeColor="accent1"/>
      <w:sz w:val="26"/>
      <w:szCs w:val="26"/>
      <w:lang w:val="fr-BE"/>
    </w:rPr>
  </w:style>
  <w:style w:type="paragraph" w:styleId="FootnoteText">
    <w:name w:val="footnote text"/>
    <w:basedOn w:val="Normal"/>
    <w:link w:val="FootnoteTextChar"/>
    <w:uiPriority w:val="99"/>
    <w:semiHidden/>
    <w:unhideWhenUsed/>
    <w:rsid w:val="009D7ED2"/>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9D7ED2"/>
    <w:rPr>
      <w:sz w:val="20"/>
      <w:szCs w:val="20"/>
      <w:lang w:val="fr-BE"/>
    </w:rPr>
  </w:style>
  <w:style w:type="paragraph" w:customStyle="1" w:styleId="WWFBodytext">
    <w:name w:val="WWF Bodytext"/>
    <w:basedOn w:val="Normal"/>
    <w:uiPriority w:val="99"/>
    <w:qFormat/>
    <w:rsid w:val="009D7ED2"/>
    <w:pPr>
      <w:suppressAutoHyphens/>
      <w:spacing w:after="0" w:line="240" w:lineRule="exact"/>
    </w:pPr>
    <w:rPr>
      <w:rFonts w:ascii="Georgia" w:eastAsia="Times" w:hAnsi="Georgia" w:cs="Times New Roman"/>
      <w:sz w:val="18"/>
      <w:szCs w:val="20"/>
      <w:lang w:val="en-US" w:eastAsia="nl-NL"/>
    </w:rPr>
  </w:style>
  <w:style w:type="character" w:styleId="FootnoteReference">
    <w:name w:val="footnote reference"/>
    <w:basedOn w:val="DefaultParagraphFont"/>
    <w:uiPriority w:val="99"/>
    <w:semiHidden/>
    <w:unhideWhenUsed/>
    <w:rsid w:val="009D7ED2"/>
    <w:rPr>
      <w:vertAlign w:val="superscript"/>
    </w:rPr>
  </w:style>
  <w:style w:type="paragraph" w:styleId="BalloonText">
    <w:name w:val="Balloon Text"/>
    <w:basedOn w:val="Normal"/>
    <w:link w:val="BalloonTextChar"/>
    <w:uiPriority w:val="99"/>
    <w:semiHidden/>
    <w:unhideWhenUsed/>
    <w:rsid w:val="009D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ED2"/>
    <w:pPr>
      <w:keepNext/>
      <w:keepLines/>
      <w:spacing w:before="200" w:after="0"/>
      <w:outlineLvl w:val="1"/>
    </w:pPr>
    <w:rPr>
      <w:rFonts w:asciiTheme="majorHAnsi" w:eastAsiaTheme="majorEastAsia" w:hAnsiTheme="majorHAnsi" w:cstheme="majorBidi"/>
      <w:b/>
      <w:bCs/>
      <w:color w:val="4F81BD" w:themeColor="accent1"/>
      <w:sz w:val="26"/>
      <w:szCs w:val="26"/>
      <w:lang w:val="fr-BE"/>
    </w:rPr>
  </w:style>
  <w:style w:type="paragraph" w:styleId="Heading3">
    <w:name w:val="heading 3"/>
    <w:basedOn w:val="Normal"/>
    <w:link w:val="Heading3Char"/>
    <w:uiPriority w:val="9"/>
    <w:qFormat/>
    <w:rsid w:val="003316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2B"/>
    <w:pPr>
      <w:spacing w:after="0" w:line="240" w:lineRule="auto"/>
      <w:ind w:left="720"/>
    </w:pPr>
    <w:rPr>
      <w:rFonts w:ascii="Calibri" w:hAnsi="Calibri" w:cs="Times New Roman"/>
    </w:rPr>
  </w:style>
  <w:style w:type="paragraph" w:styleId="NormalWeb">
    <w:name w:val="Normal (Web)"/>
    <w:basedOn w:val="Normal"/>
    <w:uiPriority w:val="99"/>
    <w:semiHidden/>
    <w:unhideWhenUsed/>
    <w:rsid w:val="00331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316D6"/>
  </w:style>
  <w:style w:type="character" w:styleId="Hyperlink">
    <w:name w:val="Hyperlink"/>
    <w:basedOn w:val="DefaultParagraphFont"/>
    <w:uiPriority w:val="99"/>
    <w:semiHidden/>
    <w:unhideWhenUsed/>
    <w:rsid w:val="003316D6"/>
    <w:rPr>
      <w:color w:val="0000FF"/>
      <w:u w:val="single"/>
    </w:rPr>
  </w:style>
  <w:style w:type="character" w:customStyle="1" w:styleId="Heading3Char">
    <w:name w:val="Heading 3 Char"/>
    <w:basedOn w:val="DefaultParagraphFont"/>
    <w:link w:val="Heading3"/>
    <w:uiPriority w:val="9"/>
    <w:rsid w:val="003316D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316D6"/>
    <w:rPr>
      <w:b/>
      <w:bCs/>
    </w:rPr>
  </w:style>
  <w:style w:type="character" w:customStyle="1" w:styleId="Heading2Char">
    <w:name w:val="Heading 2 Char"/>
    <w:basedOn w:val="DefaultParagraphFont"/>
    <w:link w:val="Heading2"/>
    <w:uiPriority w:val="9"/>
    <w:semiHidden/>
    <w:rsid w:val="009D7ED2"/>
    <w:rPr>
      <w:rFonts w:asciiTheme="majorHAnsi" w:eastAsiaTheme="majorEastAsia" w:hAnsiTheme="majorHAnsi" w:cstheme="majorBidi"/>
      <w:b/>
      <w:bCs/>
      <w:color w:val="4F81BD" w:themeColor="accent1"/>
      <w:sz w:val="26"/>
      <w:szCs w:val="26"/>
      <w:lang w:val="fr-BE"/>
    </w:rPr>
  </w:style>
  <w:style w:type="paragraph" w:styleId="FootnoteText">
    <w:name w:val="footnote text"/>
    <w:basedOn w:val="Normal"/>
    <w:link w:val="FootnoteTextChar"/>
    <w:uiPriority w:val="99"/>
    <w:semiHidden/>
    <w:unhideWhenUsed/>
    <w:rsid w:val="009D7ED2"/>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9D7ED2"/>
    <w:rPr>
      <w:sz w:val="20"/>
      <w:szCs w:val="20"/>
      <w:lang w:val="fr-BE"/>
    </w:rPr>
  </w:style>
  <w:style w:type="paragraph" w:customStyle="1" w:styleId="WWFBodytext">
    <w:name w:val="WWF Bodytext"/>
    <w:basedOn w:val="Normal"/>
    <w:uiPriority w:val="99"/>
    <w:qFormat/>
    <w:rsid w:val="009D7ED2"/>
    <w:pPr>
      <w:suppressAutoHyphens/>
      <w:spacing w:after="0" w:line="240" w:lineRule="exact"/>
    </w:pPr>
    <w:rPr>
      <w:rFonts w:ascii="Georgia" w:eastAsia="Times" w:hAnsi="Georgia" w:cs="Times New Roman"/>
      <w:sz w:val="18"/>
      <w:szCs w:val="20"/>
      <w:lang w:val="en-US" w:eastAsia="nl-NL"/>
    </w:rPr>
  </w:style>
  <w:style w:type="character" w:styleId="FootnoteReference">
    <w:name w:val="footnote reference"/>
    <w:basedOn w:val="DefaultParagraphFont"/>
    <w:uiPriority w:val="99"/>
    <w:semiHidden/>
    <w:unhideWhenUsed/>
    <w:rsid w:val="009D7ED2"/>
    <w:rPr>
      <w:vertAlign w:val="superscript"/>
    </w:rPr>
  </w:style>
  <w:style w:type="paragraph" w:styleId="BalloonText">
    <w:name w:val="Balloon Text"/>
    <w:basedOn w:val="Normal"/>
    <w:link w:val="BalloonTextChar"/>
    <w:uiPriority w:val="99"/>
    <w:semiHidden/>
    <w:unhideWhenUsed/>
    <w:rsid w:val="009D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9334">
      <w:bodyDiv w:val="1"/>
      <w:marLeft w:val="0"/>
      <w:marRight w:val="0"/>
      <w:marTop w:val="0"/>
      <w:marBottom w:val="0"/>
      <w:divBdr>
        <w:top w:val="none" w:sz="0" w:space="0" w:color="auto"/>
        <w:left w:val="none" w:sz="0" w:space="0" w:color="auto"/>
        <w:bottom w:val="none" w:sz="0" w:space="0" w:color="auto"/>
        <w:right w:val="none" w:sz="0" w:space="0" w:color="auto"/>
      </w:divBdr>
    </w:div>
    <w:div w:id="569195592">
      <w:bodyDiv w:val="1"/>
      <w:marLeft w:val="0"/>
      <w:marRight w:val="0"/>
      <w:marTop w:val="0"/>
      <w:marBottom w:val="0"/>
      <w:divBdr>
        <w:top w:val="none" w:sz="0" w:space="0" w:color="auto"/>
        <w:left w:val="none" w:sz="0" w:space="0" w:color="auto"/>
        <w:bottom w:val="none" w:sz="0" w:space="0" w:color="auto"/>
        <w:right w:val="none" w:sz="0" w:space="0" w:color="auto"/>
      </w:divBdr>
    </w:div>
    <w:div w:id="6625885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638">
          <w:marLeft w:val="0"/>
          <w:marRight w:val="0"/>
          <w:marTop w:val="0"/>
          <w:marBottom w:val="600"/>
          <w:divBdr>
            <w:top w:val="none" w:sz="0" w:space="0" w:color="auto"/>
            <w:left w:val="none" w:sz="0" w:space="0" w:color="auto"/>
            <w:bottom w:val="none" w:sz="0" w:space="0" w:color="auto"/>
            <w:right w:val="none" w:sz="0" w:space="0" w:color="auto"/>
          </w:divBdr>
          <w:divsChild>
            <w:div w:id="36928723">
              <w:marLeft w:val="300"/>
              <w:marRight w:val="0"/>
              <w:marTop w:val="0"/>
              <w:marBottom w:val="0"/>
              <w:divBdr>
                <w:top w:val="none" w:sz="0" w:space="0" w:color="auto"/>
                <w:left w:val="none" w:sz="0" w:space="0" w:color="auto"/>
                <w:bottom w:val="none" w:sz="0" w:space="0" w:color="auto"/>
                <w:right w:val="none" w:sz="0" w:space="0" w:color="auto"/>
              </w:divBdr>
              <w:divsChild>
                <w:div w:id="1295720802">
                  <w:marLeft w:val="0"/>
                  <w:marRight w:val="0"/>
                  <w:marTop w:val="0"/>
                  <w:marBottom w:val="99"/>
                  <w:divBdr>
                    <w:top w:val="none" w:sz="0" w:space="0" w:color="auto"/>
                    <w:left w:val="none" w:sz="0" w:space="0" w:color="auto"/>
                    <w:bottom w:val="none" w:sz="0" w:space="0" w:color="auto"/>
                    <w:right w:val="none" w:sz="0" w:space="0" w:color="auto"/>
                  </w:divBdr>
                  <w:divsChild>
                    <w:div w:id="495534100">
                      <w:marLeft w:val="0"/>
                      <w:marRight w:val="0"/>
                      <w:marTop w:val="0"/>
                      <w:marBottom w:val="0"/>
                      <w:divBdr>
                        <w:top w:val="none" w:sz="0" w:space="0" w:color="auto"/>
                        <w:left w:val="none" w:sz="0" w:space="0" w:color="auto"/>
                        <w:bottom w:val="none" w:sz="0" w:space="0" w:color="auto"/>
                        <w:right w:val="none" w:sz="0" w:space="0" w:color="auto"/>
                      </w:divBdr>
                    </w:div>
                    <w:div w:id="2045253936">
                      <w:marLeft w:val="0"/>
                      <w:marRight w:val="0"/>
                      <w:marTop w:val="0"/>
                      <w:marBottom w:val="0"/>
                      <w:divBdr>
                        <w:top w:val="none" w:sz="0" w:space="0" w:color="auto"/>
                        <w:left w:val="none" w:sz="0" w:space="0" w:color="auto"/>
                        <w:bottom w:val="none" w:sz="0" w:space="0" w:color="auto"/>
                        <w:right w:val="none" w:sz="0" w:space="0" w:color="auto"/>
                      </w:divBdr>
                      <w:divsChild>
                        <w:div w:id="1549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673">
                  <w:marLeft w:val="0"/>
                  <w:marRight w:val="0"/>
                  <w:marTop w:val="0"/>
                  <w:marBottom w:val="99"/>
                  <w:divBdr>
                    <w:top w:val="none" w:sz="0" w:space="0" w:color="auto"/>
                    <w:left w:val="none" w:sz="0" w:space="0" w:color="auto"/>
                    <w:bottom w:val="none" w:sz="0" w:space="0" w:color="auto"/>
                    <w:right w:val="none" w:sz="0" w:space="0" w:color="auto"/>
                  </w:divBdr>
                  <w:divsChild>
                    <w:div w:id="1008827995">
                      <w:marLeft w:val="0"/>
                      <w:marRight w:val="0"/>
                      <w:marTop w:val="0"/>
                      <w:marBottom w:val="0"/>
                      <w:divBdr>
                        <w:top w:val="none" w:sz="0" w:space="0" w:color="auto"/>
                        <w:left w:val="none" w:sz="0" w:space="0" w:color="auto"/>
                        <w:bottom w:val="none" w:sz="0" w:space="0" w:color="auto"/>
                        <w:right w:val="none" w:sz="0" w:space="0" w:color="auto"/>
                      </w:divBdr>
                    </w:div>
                    <w:div w:id="750004632">
                      <w:marLeft w:val="0"/>
                      <w:marRight w:val="0"/>
                      <w:marTop w:val="0"/>
                      <w:marBottom w:val="0"/>
                      <w:divBdr>
                        <w:top w:val="none" w:sz="0" w:space="0" w:color="auto"/>
                        <w:left w:val="none" w:sz="0" w:space="0" w:color="auto"/>
                        <w:bottom w:val="none" w:sz="0" w:space="0" w:color="auto"/>
                        <w:right w:val="none" w:sz="0" w:space="0" w:color="auto"/>
                      </w:divBdr>
                      <w:divsChild>
                        <w:div w:id="6288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566">
                  <w:marLeft w:val="0"/>
                  <w:marRight w:val="0"/>
                  <w:marTop w:val="0"/>
                  <w:marBottom w:val="99"/>
                  <w:divBdr>
                    <w:top w:val="none" w:sz="0" w:space="0" w:color="auto"/>
                    <w:left w:val="none" w:sz="0" w:space="0" w:color="auto"/>
                    <w:bottom w:val="none" w:sz="0" w:space="0" w:color="auto"/>
                    <w:right w:val="none" w:sz="0" w:space="0" w:color="auto"/>
                  </w:divBdr>
                  <w:divsChild>
                    <w:div w:id="308243682">
                      <w:marLeft w:val="0"/>
                      <w:marRight w:val="0"/>
                      <w:marTop w:val="0"/>
                      <w:marBottom w:val="0"/>
                      <w:divBdr>
                        <w:top w:val="none" w:sz="0" w:space="0" w:color="auto"/>
                        <w:left w:val="none" w:sz="0" w:space="0" w:color="auto"/>
                        <w:bottom w:val="none" w:sz="0" w:space="0" w:color="auto"/>
                        <w:right w:val="none" w:sz="0" w:space="0" w:color="auto"/>
                      </w:divBdr>
                    </w:div>
                    <w:div w:id="2012752110">
                      <w:marLeft w:val="0"/>
                      <w:marRight w:val="0"/>
                      <w:marTop w:val="0"/>
                      <w:marBottom w:val="0"/>
                      <w:divBdr>
                        <w:top w:val="none" w:sz="0" w:space="0" w:color="auto"/>
                        <w:left w:val="none" w:sz="0" w:space="0" w:color="auto"/>
                        <w:bottom w:val="none" w:sz="0" w:space="0" w:color="auto"/>
                        <w:right w:val="none" w:sz="0" w:space="0" w:color="auto"/>
                      </w:divBdr>
                      <w:divsChild>
                        <w:div w:id="10546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4481">
          <w:marLeft w:val="0"/>
          <w:marRight w:val="0"/>
          <w:marTop w:val="0"/>
          <w:marBottom w:val="750"/>
          <w:divBdr>
            <w:top w:val="single" w:sz="6" w:space="30" w:color="E2DFD7"/>
            <w:left w:val="single" w:sz="2" w:space="0" w:color="E2DFD7"/>
            <w:bottom w:val="single" w:sz="6" w:space="30" w:color="E2DFD7"/>
            <w:right w:val="single" w:sz="2" w:space="0" w:color="E2DFD7"/>
          </w:divBdr>
          <w:divsChild>
            <w:div w:id="1376924644">
              <w:blockQuote w:val="1"/>
              <w:marLeft w:val="0"/>
              <w:marRight w:val="0"/>
              <w:marTop w:val="0"/>
              <w:marBottom w:val="0"/>
              <w:divBdr>
                <w:top w:val="none" w:sz="0" w:space="0" w:color="auto"/>
                <w:left w:val="none" w:sz="0" w:space="0" w:color="auto"/>
                <w:bottom w:val="none" w:sz="0" w:space="0" w:color="auto"/>
                <w:right w:val="none" w:sz="0" w:space="0" w:color="auto"/>
              </w:divBdr>
              <w:divsChild>
                <w:div w:id="1181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1943">
      <w:bodyDiv w:val="1"/>
      <w:marLeft w:val="0"/>
      <w:marRight w:val="0"/>
      <w:marTop w:val="0"/>
      <w:marBottom w:val="0"/>
      <w:divBdr>
        <w:top w:val="none" w:sz="0" w:space="0" w:color="auto"/>
        <w:left w:val="none" w:sz="0" w:space="0" w:color="auto"/>
        <w:bottom w:val="none" w:sz="0" w:space="0" w:color="auto"/>
        <w:right w:val="none" w:sz="0" w:space="0" w:color="auto"/>
      </w:divBdr>
    </w:div>
    <w:div w:id="2119138202">
      <w:bodyDiv w:val="1"/>
      <w:marLeft w:val="0"/>
      <w:marRight w:val="0"/>
      <w:marTop w:val="0"/>
      <w:marBottom w:val="0"/>
      <w:divBdr>
        <w:top w:val="none" w:sz="0" w:space="0" w:color="auto"/>
        <w:left w:val="none" w:sz="0" w:space="0" w:color="auto"/>
        <w:bottom w:val="none" w:sz="0" w:space="0" w:color="auto"/>
        <w:right w:val="none" w:sz="0" w:space="0" w:color="auto"/>
      </w:divBdr>
      <w:divsChild>
        <w:div w:id="1311250210">
          <w:marLeft w:val="0"/>
          <w:marRight w:val="0"/>
          <w:marTop w:val="0"/>
          <w:marBottom w:val="600"/>
          <w:divBdr>
            <w:top w:val="none" w:sz="0" w:space="0" w:color="auto"/>
            <w:left w:val="none" w:sz="0" w:space="0" w:color="auto"/>
            <w:bottom w:val="none" w:sz="0" w:space="0" w:color="auto"/>
            <w:right w:val="none" w:sz="0" w:space="0" w:color="auto"/>
          </w:divBdr>
          <w:divsChild>
            <w:div w:id="1938951014">
              <w:marLeft w:val="300"/>
              <w:marRight w:val="0"/>
              <w:marTop w:val="0"/>
              <w:marBottom w:val="0"/>
              <w:divBdr>
                <w:top w:val="none" w:sz="0" w:space="0" w:color="auto"/>
                <w:left w:val="none" w:sz="0" w:space="0" w:color="auto"/>
                <w:bottom w:val="none" w:sz="0" w:space="0" w:color="auto"/>
                <w:right w:val="none" w:sz="0" w:space="0" w:color="auto"/>
              </w:divBdr>
              <w:divsChild>
                <w:div w:id="393431010">
                  <w:marLeft w:val="0"/>
                  <w:marRight w:val="0"/>
                  <w:marTop w:val="0"/>
                  <w:marBottom w:val="99"/>
                  <w:divBdr>
                    <w:top w:val="none" w:sz="0" w:space="0" w:color="auto"/>
                    <w:left w:val="none" w:sz="0" w:space="0" w:color="auto"/>
                    <w:bottom w:val="none" w:sz="0" w:space="0" w:color="auto"/>
                    <w:right w:val="none" w:sz="0" w:space="0" w:color="auto"/>
                  </w:divBdr>
                  <w:divsChild>
                    <w:div w:id="1543397988">
                      <w:marLeft w:val="0"/>
                      <w:marRight w:val="0"/>
                      <w:marTop w:val="0"/>
                      <w:marBottom w:val="0"/>
                      <w:divBdr>
                        <w:top w:val="none" w:sz="0" w:space="0" w:color="auto"/>
                        <w:left w:val="none" w:sz="0" w:space="0" w:color="auto"/>
                        <w:bottom w:val="none" w:sz="0" w:space="0" w:color="auto"/>
                        <w:right w:val="none" w:sz="0" w:space="0" w:color="auto"/>
                      </w:divBdr>
                    </w:div>
                    <w:div w:id="1632979023">
                      <w:marLeft w:val="0"/>
                      <w:marRight w:val="0"/>
                      <w:marTop w:val="0"/>
                      <w:marBottom w:val="0"/>
                      <w:divBdr>
                        <w:top w:val="none" w:sz="0" w:space="0" w:color="auto"/>
                        <w:left w:val="none" w:sz="0" w:space="0" w:color="auto"/>
                        <w:bottom w:val="none" w:sz="0" w:space="0" w:color="auto"/>
                        <w:right w:val="none" w:sz="0" w:space="0" w:color="auto"/>
                      </w:divBdr>
                      <w:divsChild>
                        <w:div w:id="9568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8290">
                  <w:marLeft w:val="0"/>
                  <w:marRight w:val="0"/>
                  <w:marTop w:val="0"/>
                  <w:marBottom w:val="99"/>
                  <w:divBdr>
                    <w:top w:val="none" w:sz="0" w:space="0" w:color="auto"/>
                    <w:left w:val="none" w:sz="0" w:space="0" w:color="auto"/>
                    <w:bottom w:val="none" w:sz="0" w:space="0" w:color="auto"/>
                    <w:right w:val="none" w:sz="0" w:space="0" w:color="auto"/>
                  </w:divBdr>
                  <w:divsChild>
                    <w:div w:id="1292589914">
                      <w:marLeft w:val="0"/>
                      <w:marRight w:val="0"/>
                      <w:marTop w:val="0"/>
                      <w:marBottom w:val="0"/>
                      <w:divBdr>
                        <w:top w:val="none" w:sz="0" w:space="0" w:color="auto"/>
                        <w:left w:val="none" w:sz="0" w:space="0" w:color="auto"/>
                        <w:bottom w:val="none" w:sz="0" w:space="0" w:color="auto"/>
                        <w:right w:val="none" w:sz="0" w:space="0" w:color="auto"/>
                      </w:divBdr>
                    </w:div>
                    <w:div w:id="476067395">
                      <w:marLeft w:val="0"/>
                      <w:marRight w:val="0"/>
                      <w:marTop w:val="0"/>
                      <w:marBottom w:val="0"/>
                      <w:divBdr>
                        <w:top w:val="none" w:sz="0" w:space="0" w:color="auto"/>
                        <w:left w:val="none" w:sz="0" w:space="0" w:color="auto"/>
                        <w:bottom w:val="none" w:sz="0" w:space="0" w:color="auto"/>
                        <w:right w:val="none" w:sz="0" w:space="0" w:color="auto"/>
                      </w:divBdr>
                      <w:divsChild>
                        <w:div w:id="9711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0795">
                  <w:marLeft w:val="0"/>
                  <w:marRight w:val="0"/>
                  <w:marTop w:val="0"/>
                  <w:marBottom w:val="99"/>
                  <w:divBdr>
                    <w:top w:val="none" w:sz="0" w:space="0" w:color="auto"/>
                    <w:left w:val="none" w:sz="0" w:space="0" w:color="auto"/>
                    <w:bottom w:val="none" w:sz="0" w:space="0" w:color="auto"/>
                    <w:right w:val="none" w:sz="0" w:space="0" w:color="auto"/>
                  </w:divBdr>
                  <w:divsChild>
                    <w:div w:id="2088577056">
                      <w:marLeft w:val="0"/>
                      <w:marRight w:val="0"/>
                      <w:marTop w:val="0"/>
                      <w:marBottom w:val="0"/>
                      <w:divBdr>
                        <w:top w:val="none" w:sz="0" w:space="0" w:color="auto"/>
                        <w:left w:val="none" w:sz="0" w:space="0" w:color="auto"/>
                        <w:bottom w:val="none" w:sz="0" w:space="0" w:color="auto"/>
                        <w:right w:val="none" w:sz="0" w:space="0" w:color="auto"/>
                      </w:divBdr>
                    </w:div>
                    <w:div w:id="1054625780">
                      <w:marLeft w:val="0"/>
                      <w:marRight w:val="0"/>
                      <w:marTop w:val="0"/>
                      <w:marBottom w:val="0"/>
                      <w:divBdr>
                        <w:top w:val="none" w:sz="0" w:space="0" w:color="auto"/>
                        <w:left w:val="none" w:sz="0" w:space="0" w:color="auto"/>
                        <w:bottom w:val="none" w:sz="0" w:space="0" w:color="auto"/>
                        <w:right w:val="none" w:sz="0" w:space="0" w:color="auto"/>
                      </w:divBdr>
                      <w:divsChild>
                        <w:div w:id="16693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4463">
          <w:marLeft w:val="0"/>
          <w:marRight w:val="0"/>
          <w:marTop w:val="0"/>
          <w:marBottom w:val="750"/>
          <w:divBdr>
            <w:top w:val="single" w:sz="6" w:space="30" w:color="E2DFD7"/>
            <w:left w:val="single" w:sz="2" w:space="0" w:color="E2DFD7"/>
            <w:bottom w:val="single" w:sz="6" w:space="30" w:color="E2DFD7"/>
            <w:right w:val="single" w:sz="2" w:space="0" w:color="E2DFD7"/>
          </w:divBdr>
          <w:divsChild>
            <w:div w:id="972103526">
              <w:blockQuote w:val="1"/>
              <w:marLeft w:val="0"/>
              <w:marRight w:val="0"/>
              <w:marTop w:val="0"/>
              <w:marBottom w:val="0"/>
              <w:divBdr>
                <w:top w:val="none" w:sz="0" w:space="0" w:color="auto"/>
                <w:left w:val="none" w:sz="0" w:space="0" w:color="auto"/>
                <w:bottom w:val="none" w:sz="0" w:space="0" w:color="auto"/>
                <w:right w:val="none" w:sz="0" w:space="0" w:color="auto"/>
              </w:divBdr>
              <w:divsChild>
                <w:div w:id="142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aingrandjean.fr/2012/05/25/a-la-recherche-de-la-croissance-perd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ublication/global-economic-prospect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WWF</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IMG2013</dc:creator>
  <cp:lastModifiedBy>Theodota Nantsou</cp:lastModifiedBy>
  <cp:revision>2</cp:revision>
  <cp:lastPrinted>2014-10-13T07:31:00Z</cp:lastPrinted>
  <dcterms:created xsi:type="dcterms:W3CDTF">2014-10-16T07:51:00Z</dcterms:created>
  <dcterms:modified xsi:type="dcterms:W3CDTF">2014-10-16T07:51:00Z</dcterms:modified>
</cp:coreProperties>
</file>